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6B3" w:rsidRPr="00E166B3" w:rsidRDefault="00E166B3" w:rsidP="006B46E7">
      <w:pPr>
        <w:spacing w:after="0" w:line="240" w:lineRule="auto"/>
        <w:jc w:val="center"/>
        <w:rPr>
          <w:rFonts w:ascii="Times New Roman" w:eastAsia="Times New Roman" w:hAnsi="Times New Roman" w:cs="Times New Roman"/>
          <w:b/>
          <w:sz w:val="28"/>
          <w:szCs w:val="28"/>
          <w:lang w:eastAsia="ru-RU"/>
        </w:rPr>
      </w:pPr>
      <w:r w:rsidRPr="00E166B3">
        <w:rPr>
          <w:rFonts w:ascii="Times New Roman" w:eastAsia="Times New Roman" w:hAnsi="Times New Roman" w:cs="Times New Roman"/>
          <w:b/>
          <w:sz w:val="28"/>
          <w:szCs w:val="28"/>
          <w:lang w:eastAsia="ru-RU"/>
        </w:rPr>
        <w:t>Основными принципами поддержки субъектов малого и среднего предпринимательства являются:</w:t>
      </w:r>
    </w:p>
    <w:p w:rsidR="00E166B3" w:rsidRPr="00E166B3" w:rsidRDefault="00E166B3" w:rsidP="006B46E7">
      <w:pPr>
        <w:spacing w:after="0" w:line="240" w:lineRule="auto"/>
        <w:jc w:val="both"/>
        <w:rPr>
          <w:rFonts w:ascii="Times New Roman" w:eastAsia="Times New Roman" w:hAnsi="Times New Roman" w:cs="Times New Roman"/>
          <w:sz w:val="28"/>
          <w:szCs w:val="28"/>
          <w:lang w:eastAsia="ru-RU"/>
        </w:rPr>
      </w:pPr>
      <w:r w:rsidRPr="00E166B3">
        <w:rPr>
          <w:rFonts w:ascii="Times New Roman" w:eastAsia="Times New Roman" w:hAnsi="Times New Roman" w:cs="Times New Roman"/>
          <w:sz w:val="28"/>
          <w:szCs w:val="28"/>
          <w:lang w:eastAsia="ru-RU"/>
        </w:rPr>
        <w:t>1) заявительный порядок обращения субъектов малого и среднего предпринимательства за оказанием поддержки;</w:t>
      </w:r>
    </w:p>
    <w:p w:rsidR="00E166B3" w:rsidRPr="00E166B3" w:rsidRDefault="00E166B3" w:rsidP="006B46E7">
      <w:pPr>
        <w:spacing w:after="0" w:line="240" w:lineRule="auto"/>
        <w:jc w:val="both"/>
        <w:rPr>
          <w:rFonts w:ascii="Times New Roman" w:eastAsia="Times New Roman" w:hAnsi="Times New Roman" w:cs="Times New Roman"/>
          <w:sz w:val="28"/>
          <w:szCs w:val="28"/>
          <w:lang w:eastAsia="ru-RU"/>
        </w:rPr>
      </w:pPr>
      <w:r w:rsidRPr="00E166B3">
        <w:rPr>
          <w:rFonts w:ascii="Times New Roman" w:eastAsia="Times New Roman" w:hAnsi="Times New Roman" w:cs="Times New Roman"/>
          <w:sz w:val="28"/>
          <w:szCs w:val="28"/>
          <w:lang w:eastAsia="ru-RU"/>
        </w:rP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E166B3" w:rsidRPr="00E166B3" w:rsidRDefault="00E166B3" w:rsidP="006B46E7">
      <w:pPr>
        <w:spacing w:after="0" w:line="240" w:lineRule="auto"/>
        <w:jc w:val="both"/>
        <w:rPr>
          <w:rFonts w:ascii="Times New Roman" w:eastAsia="Times New Roman" w:hAnsi="Times New Roman" w:cs="Times New Roman"/>
          <w:sz w:val="28"/>
          <w:szCs w:val="28"/>
          <w:lang w:eastAsia="ru-RU"/>
        </w:rPr>
      </w:pPr>
      <w:r w:rsidRPr="00E166B3">
        <w:rPr>
          <w:rFonts w:ascii="Times New Roman" w:eastAsia="Times New Roman" w:hAnsi="Times New Roman" w:cs="Times New Roman"/>
          <w:sz w:val="28"/>
          <w:szCs w:val="28"/>
          <w:lang w:eastAsia="ru-RU"/>
        </w:rP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rsidR="00E166B3" w:rsidRPr="00E166B3" w:rsidRDefault="00E166B3" w:rsidP="006B46E7">
      <w:pPr>
        <w:spacing w:after="0" w:line="240" w:lineRule="auto"/>
        <w:jc w:val="both"/>
        <w:rPr>
          <w:rFonts w:ascii="Times New Roman" w:eastAsia="Times New Roman" w:hAnsi="Times New Roman" w:cs="Times New Roman"/>
          <w:sz w:val="28"/>
          <w:szCs w:val="28"/>
          <w:lang w:eastAsia="ru-RU"/>
        </w:rPr>
      </w:pPr>
      <w:r w:rsidRPr="00E166B3">
        <w:rPr>
          <w:rFonts w:ascii="Times New Roman" w:eastAsia="Times New Roman" w:hAnsi="Times New Roman" w:cs="Times New Roman"/>
          <w:sz w:val="28"/>
          <w:szCs w:val="28"/>
          <w:lang w:eastAsia="ru-RU"/>
        </w:rPr>
        <w:t>4) оказание поддержки с соблюдением требований, установленных Федеральным </w:t>
      </w:r>
      <w:hyperlink r:id="rId4" w:history="1">
        <w:r w:rsidRPr="00E166B3">
          <w:rPr>
            <w:rFonts w:ascii="Times New Roman" w:eastAsia="Times New Roman" w:hAnsi="Times New Roman" w:cs="Times New Roman"/>
            <w:sz w:val="28"/>
            <w:szCs w:val="28"/>
            <w:u w:val="single"/>
            <w:lang w:eastAsia="ru-RU"/>
          </w:rPr>
          <w:t>законом</w:t>
        </w:r>
      </w:hyperlink>
      <w:r w:rsidRPr="00E166B3">
        <w:rPr>
          <w:rFonts w:ascii="Times New Roman" w:eastAsia="Times New Roman" w:hAnsi="Times New Roman" w:cs="Times New Roman"/>
          <w:sz w:val="28"/>
          <w:szCs w:val="28"/>
          <w:lang w:eastAsia="ru-RU"/>
        </w:rPr>
        <w:t> от 26 июля 2006 года N 135-ФЗ "О защите конкуренции";</w:t>
      </w:r>
    </w:p>
    <w:p w:rsidR="00E166B3" w:rsidRPr="00E166B3" w:rsidRDefault="00E166B3" w:rsidP="006B46E7">
      <w:pPr>
        <w:spacing w:after="0" w:line="240" w:lineRule="auto"/>
        <w:jc w:val="both"/>
        <w:rPr>
          <w:rFonts w:ascii="Times New Roman" w:eastAsia="Times New Roman" w:hAnsi="Times New Roman" w:cs="Times New Roman"/>
          <w:sz w:val="28"/>
          <w:szCs w:val="28"/>
          <w:lang w:eastAsia="ru-RU"/>
        </w:rPr>
      </w:pPr>
      <w:r w:rsidRPr="00E166B3">
        <w:rPr>
          <w:rFonts w:ascii="Times New Roman" w:eastAsia="Times New Roman" w:hAnsi="Times New Roman" w:cs="Times New Roman"/>
          <w:sz w:val="28"/>
          <w:szCs w:val="28"/>
          <w:lang w:eastAsia="ru-RU"/>
        </w:rPr>
        <w:t>5) открытость процедур оказания поддержки.</w:t>
      </w:r>
    </w:p>
    <w:p w:rsidR="00E166B3" w:rsidRPr="00E166B3" w:rsidRDefault="00E166B3" w:rsidP="006B46E7">
      <w:pPr>
        <w:spacing w:after="0" w:line="240" w:lineRule="auto"/>
        <w:jc w:val="both"/>
        <w:rPr>
          <w:rFonts w:ascii="Times New Roman" w:eastAsia="Times New Roman" w:hAnsi="Times New Roman" w:cs="Times New Roman"/>
          <w:sz w:val="28"/>
          <w:szCs w:val="28"/>
          <w:lang w:eastAsia="ru-RU"/>
        </w:rPr>
      </w:pPr>
      <w:r w:rsidRPr="00E166B3">
        <w:rPr>
          <w:rFonts w:ascii="Times New Roman" w:eastAsia="Times New Roman" w:hAnsi="Times New Roman" w:cs="Times New Roman"/>
          <w:sz w:val="28"/>
          <w:szCs w:val="28"/>
          <w:lang w:eastAsia="ru-RU"/>
        </w:rPr>
        <w:t>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5" w:history="1">
        <w:r w:rsidRPr="00E166B3">
          <w:rPr>
            <w:rFonts w:ascii="Times New Roman" w:eastAsia="Times New Roman" w:hAnsi="Times New Roman" w:cs="Times New Roman"/>
            <w:sz w:val="28"/>
            <w:szCs w:val="28"/>
            <w:u w:val="single"/>
            <w:lang w:eastAsia="ru-RU"/>
          </w:rPr>
          <w:t>законом</w:t>
        </w:r>
      </w:hyperlink>
      <w:r w:rsidRPr="00E166B3">
        <w:rPr>
          <w:rFonts w:ascii="Times New Roman" w:eastAsia="Times New Roman" w:hAnsi="Times New Roman" w:cs="Times New Roman"/>
          <w:sz w:val="28"/>
          <w:szCs w:val="28"/>
          <w:lang w:eastAsia="ru-RU"/>
        </w:rPr>
        <w:t> от 27 июля 2010 года N 210-ФЗ "Об организации предоставления государственных и муниципальных услуг" перечень документов.</w:t>
      </w:r>
    </w:p>
    <w:p w:rsidR="00E166B3" w:rsidRPr="00E166B3" w:rsidRDefault="00E166B3" w:rsidP="006B46E7">
      <w:pPr>
        <w:spacing w:after="0" w:line="240" w:lineRule="auto"/>
        <w:jc w:val="both"/>
        <w:rPr>
          <w:rFonts w:ascii="Times New Roman" w:eastAsia="Times New Roman" w:hAnsi="Times New Roman" w:cs="Times New Roman"/>
          <w:sz w:val="28"/>
          <w:szCs w:val="28"/>
          <w:lang w:eastAsia="ru-RU"/>
        </w:rPr>
      </w:pPr>
      <w:r w:rsidRPr="00E166B3">
        <w:rPr>
          <w:rFonts w:ascii="Times New Roman" w:eastAsia="Times New Roman" w:hAnsi="Times New Roman" w:cs="Times New Roman"/>
          <w:sz w:val="28"/>
          <w:szCs w:val="28"/>
          <w:lang w:eastAsia="ru-RU"/>
        </w:rPr>
        <w:t>3. Поддержка не может оказываться в отношении субъектов малого и среднего предпринимательства:</w:t>
      </w:r>
    </w:p>
    <w:p w:rsidR="00E166B3" w:rsidRPr="00E166B3" w:rsidRDefault="00E166B3" w:rsidP="006B46E7">
      <w:pPr>
        <w:spacing w:after="0" w:line="240" w:lineRule="auto"/>
        <w:jc w:val="both"/>
        <w:rPr>
          <w:rFonts w:ascii="Times New Roman" w:eastAsia="Times New Roman" w:hAnsi="Times New Roman" w:cs="Times New Roman"/>
          <w:sz w:val="28"/>
          <w:szCs w:val="28"/>
          <w:lang w:eastAsia="ru-RU"/>
        </w:rPr>
      </w:pPr>
      <w:r w:rsidRPr="00E166B3">
        <w:rPr>
          <w:rFonts w:ascii="Times New Roman" w:eastAsia="Times New Roman" w:hAnsi="Times New Roman" w:cs="Times New Roman"/>
          <w:sz w:val="28"/>
          <w:szCs w:val="28"/>
          <w:lang w:eastAsia="ru-RU"/>
        </w:rP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E166B3" w:rsidRPr="00E166B3" w:rsidRDefault="00E166B3" w:rsidP="006B46E7">
      <w:pPr>
        <w:spacing w:after="0" w:line="240" w:lineRule="auto"/>
        <w:jc w:val="both"/>
        <w:rPr>
          <w:rFonts w:ascii="Times New Roman" w:eastAsia="Times New Roman" w:hAnsi="Times New Roman" w:cs="Times New Roman"/>
          <w:sz w:val="28"/>
          <w:szCs w:val="28"/>
          <w:lang w:eastAsia="ru-RU"/>
        </w:rPr>
      </w:pPr>
      <w:r w:rsidRPr="00E166B3">
        <w:rPr>
          <w:rFonts w:ascii="Times New Roman" w:eastAsia="Times New Roman" w:hAnsi="Times New Roman" w:cs="Times New Roman"/>
          <w:sz w:val="28"/>
          <w:szCs w:val="28"/>
          <w:lang w:eastAsia="ru-RU"/>
        </w:rPr>
        <w:t>2) являющихся участниками соглашений о разделе продукции;</w:t>
      </w:r>
    </w:p>
    <w:p w:rsidR="00E166B3" w:rsidRPr="00E166B3" w:rsidRDefault="00E166B3" w:rsidP="006B46E7">
      <w:pPr>
        <w:spacing w:after="0" w:line="240" w:lineRule="auto"/>
        <w:jc w:val="both"/>
        <w:rPr>
          <w:rFonts w:ascii="Times New Roman" w:eastAsia="Times New Roman" w:hAnsi="Times New Roman" w:cs="Times New Roman"/>
          <w:sz w:val="28"/>
          <w:szCs w:val="28"/>
          <w:lang w:eastAsia="ru-RU"/>
        </w:rPr>
      </w:pPr>
      <w:r w:rsidRPr="00E166B3">
        <w:rPr>
          <w:rFonts w:ascii="Times New Roman" w:eastAsia="Times New Roman" w:hAnsi="Times New Roman" w:cs="Times New Roman"/>
          <w:sz w:val="28"/>
          <w:szCs w:val="28"/>
          <w:lang w:eastAsia="ru-RU"/>
        </w:rPr>
        <w:t>3) осуществляющих предпринимательскую деятельность в сфере игорного бизнеса;</w:t>
      </w:r>
    </w:p>
    <w:p w:rsidR="00E166B3" w:rsidRPr="00E166B3" w:rsidRDefault="00E166B3" w:rsidP="006B46E7">
      <w:pPr>
        <w:spacing w:after="0" w:line="240" w:lineRule="auto"/>
        <w:jc w:val="both"/>
        <w:rPr>
          <w:rFonts w:ascii="Times New Roman" w:eastAsia="Times New Roman" w:hAnsi="Times New Roman" w:cs="Times New Roman"/>
          <w:sz w:val="28"/>
          <w:szCs w:val="28"/>
          <w:lang w:eastAsia="ru-RU"/>
        </w:rPr>
      </w:pPr>
      <w:r w:rsidRPr="00E166B3">
        <w:rPr>
          <w:rFonts w:ascii="Times New Roman" w:eastAsia="Times New Roman" w:hAnsi="Times New Roman" w:cs="Times New Roman"/>
          <w:sz w:val="28"/>
          <w:szCs w:val="28"/>
          <w:lang w:eastAsia="ru-RU"/>
        </w:rPr>
        <w:lastRenderedPageBreak/>
        <w:t>4) являющихся в порядке, установленном </w:t>
      </w:r>
      <w:hyperlink r:id="rId6" w:anchor="dst100030" w:history="1">
        <w:r w:rsidRPr="00E166B3">
          <w:rPr>
            <w:rFonts w:ascii="Times New Roman" w:eastAsia="Times New Roman" w:hAnsi="Times New Roman" w:cs="Times New Roman"/>
            <w:sz w:val="28"/>
            <w:szCs w:val="28"/>
            <w:u w:val="single"/>
            <w:lang w:eastAsia="ru-RU"/>
          </w:rPr>
          <w:t>законодательством</w:t>
        </w:r>
      </w:hyperlink>
      <w:r w:rsidRPr="00E166B3">
        <w:rPr>
          <w:rFonts w:ascii="Times New Roman" w:eastAsia="Times New Roman" w:hAnsi="Times New Roman" w:cs="Times New Roman"/>
          <w:sz w:val="28"/>
          <w:szCs w:val="28"/>
          <w:lang w:eastAsia="ru-RU"/>
        </w:rPr>
        <w:t>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E166B3" w:rsidRPr="00E166B3" w:rsidRDefault="00E166B3" w:rsidP="006B46E7">
      <w:pPr>
        <w:spacing w:after="0" w:line="240" w:lineRule="auto"/>
        <w:jc w:val="both"/>
        <w:rPr>
          <w:rFonts w:ascii="Times New Roman" w:eastAsia="Times New Roman" w:hAnsi="Times New Roman" w:cs="Times New Roman"/>
          <w:sz w:val="28"/>
          <w:szCs w:val="28"/>
          <w:lang w:eastAsia="ru-RU"/>
        </w:rPr>
      </w:pPr>
      <w:r w:rsidRPr="00E166B3">
        <w:rPr>
          <w:rFonts w:ascii="Times New Roman" w:eastAsia="Times New Roman" w:hAnsi="Times New Roman" w:cs="Times New Roman"/>
          <w:sz w:val="28"/>
          <w:szCs w:val="28"/>
          <w:lang w:eastAsia="ru-RU"/>
        </w:rPr>
        <w:t>4. Финансовая поддержка субъектов малого и среднего предпринимательства, предусмотренная </w:t>
      </w:r>
      <w:hyperlink r:id="rId7" w:anchor="dst100159" w:history="1">
        <w:r w:rsidRPr="00E166B3">
          <w:rPr>
            <w:rFonts w:ascii="Times New Roman" w:eastAsia="Times New Roman" w:hAnsi="Times New Roman" w:cs="Times New Roman"/>
            <w:sz w:val="28"/>
            <w:szCs w:val="28"/>
            <w:u w:val="single"/>
            <w:lang w:eastAsia="ru-RU"/>
          </w:rPr>
          <w:t>статьей 17</w:t>
        </w:r>
      </w:hyperlink>
      <w:r w:rsidRPr="00E166B3">
        <w:rPr>
          <w:rFonts w:ascii="Times New Roman" w:eastAsia="Times New Roman" w:hAnsi="Times New Roman" w:cs="Times New Roman"/>
          <w:sz w:val="28"/>
          <w:szCs w:val="28"/>
          <w:lang w:eastAsia="ru-RU"/>
        </w:rPr>
        <w:t xml:space="preserve"> настоящего Федерального закона, не может оказываться субъектам малого и среднего предпринимательства, </w:t>
      </w:r>
      <w:bookmarkStart w:id="0" w:name="_GoBack"/>
      <w:bookmarkEnd w:id="0"/>
      <w:r w:rsidRPr="00E166B3">
        <w:rPr>
          <w:rFonts w:ascii="Times New Roman" w:eastAsia="Times New Roman" w:hAnsi="Times New Roman" w:cs="Times New Roman"/>
          <w:sz w:val="28"/>
          <w:szCs w:val="28"/>
          <w:lang w:eastAsia="ru-RU"/>
        </w:rPr>
        <w:t>осуществляющим производство и (или) реализацию </w:t>
      </w:r>
      <w:hyperlink r:id="rId8" w:anchor="dst100661" w:history="1">
        <w:r w:rsidRPr="00E166B3">
          <w:rPr>
            <w:rFonts w:ascii="Times New Roman" w:eastAsia="Times New Roman" w:hAnsi="Times New Roman" w:cs="Times New Roman"/>
            <w:sz w:val="28"/>
            <w:szCs w:val="28"/>
            <w:u w:val="single"/>
            <w:lang w:eastAsia="ru-RU"/>
          </w:rPr>
          <w:t>подакцизных</w:t>
        </w:r>
      </w:hyperlink>
      <w:r w:rsidRPr="00E166B3">
        <w:rPr>
          <w:rFonts w:ascii="Times New Roman" w:eastAsia="Times New Roman" w:hAnsi="Times New Roman" w:cs="Times New Roman"/>
          <w:sz w:val="28"/>
          <w:szCs w:val="28"/>
          <w:lang w:eastAsia="ru-RU"/>
        </w:rPr>
        <w:t> товаров, а также добычу и (или) реализацию полезных ископаемых, за исключением </w:t>
      </w:r>
      <w:hyperlink r:id="rId9" w:anchor="dst100012" w:history="1">
        <w:r w:rsidRPr="00E166B3">
          <w:rPr>
            <w:rFonts w:ascii="Times New Roman" w:eastAsia="Times New Roman" w:hAnsi="Times New Roman" w:cs="Times New Roman"/>
            <w:sz w:val="28"/>
            <w:szCs w:val="28"/>
            <w:u w:val="single"/>
            <w:lang w:eastAsia="ru-RU"/>
          </w:rPr>
          <w:t>общераспространенных</w:t>
        </w:r>
      </w:hyperlink>
      <w:r w:rsidRPr="00E166B3">
        <w:rPr>
          <w:rFonts w:ascii="Times New Roman" w:eastAsia="Times New Roman" w:hAnsi="Times New Roman" w:cs="Times New Roman"/>
          <w:sz w:val="28"/>
          <w:szCs w:val="28"/>
          <w:lang w:eastAsia="ru-RU"/>
        </w:rPr>
        <w:t> полезных ископаемых и минеральных питьевых вод, если </w:t>
      </w:r>
      <w:hyperlink r:id="rId10" w:anchor="dst100005" w:history="1">
        <w:r w:rsidRPr="00E166B3">
          <w:rPr>
            <w:rFonts w:ascii="Times New Roman" w:eastAsia="Times New Roman" w:hAnsi="Times New Roman" w:cs="Times New Roman"/>
            <w:sz w:val="28"/>
            <w:szCs w:val="28"/>
            <w:u w:val="single"/>
            <w:lang w:eastAsia="ru-RU"/>
          </w:rPr>
          <w:t>иное</w:t>
        </w:r>
      </w:hyperlink>
      <w:r w:rsidRPr="00E166B3">
        <w:rPr>
          <w:rFonts w:ascii="Times New Roman" w:eastAsia="Times New Roman" w:hAnsi="Times New Roman" w:cs="Times New Roman"/>
          <w:sz w:val="28"/>
          <w:szCs w:val="28"/>
          <w:lang w:eastAsia="ru-RU"/>
        </w:rPr>
        <w:t> не предусмотрено Правительством Российской Федерации.</w:t>
      </w:r>
    </w:p>
    <w:p w:rsidR="00E166B3" w:rsidRPr="00E166B3" w:rsidRDefault="00E166B3" w:rsidP="006B46E7">
      <w:pPr>
        <w:spacing w:after="0" w:line="240" w:lineRule="auto"/>
        <w:jc w:val="both"/>
        <w:rPr>
          <w:rFonts w:ascii="Times New Roman" w:eastAsia="Times New Roman" w:hAnsi="Times New Roman" w:cs="Times New Roman"/>
          <w:sz w:val="28"/>
          <w:szCs w:val="28"/>
          <w:lang w:eastAsia="ru-RU"/>
        </w:rPr>
      </w:pPr>
      <w:r w:rsidRPr="00E166B3">
        <w:rPr>
          <w:rFonts w:ascii="Times New Roman" w:eastAsia="Times New Roman" w:hAnsi="Times New Roman" w:cs="Times New Roman"/>
          <w:sz w:val="28"/>
          <w:szCs w:val="28"/>
          <w:lang w:eastAsia="ru-RU"/>
        </w:rPr>
        <w:t>5. В оказании поддержки должно быть отказано в случае, если:</w:t>
      </w:r>
    </w:p>
    <w:p w:rsidR="00E166B3" w:rsidRPr="00E166B3" w:rsidRDefault="00E166B3" w:rsidP="006B46E7">
      <w:pPr>
        <w:spacing w:after="0" w:line="240" w:lineRule="auto"/>
        <w:jc w:val="both"/>
        <w:rPr>
          <w:rFonts w:ascii="Times New Roman" w:eastAsia="Times New Roman" w:hAnsi="Times New Roman" w:cs="Times New Roman"/>
          <w:sz w:val="28"/>
          <w:szCs w:val="28"/>
          <w:lang w:eastAsia="ru-RU"/>
        </w:rPr>
      </w:pPr>
      <w:r w:rsidRPr="00E166B3">
        <w:rPr>
          <w:rFonts w:ascii="Times New Roman" w:eastAsia="Times New Roman" w:hAnsi="Times New Roman" w:cs="Times New Roman"/>
          <w:sz w:val="28"/>
          <w:szCs w:val="28"/>
          <w:lang w:eastAsia="ru-RU"/>
        </w:rP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E166B3" w:rsidRPr="00E166B3" w:rsidRDefault="00E166B3" w:rsidP="006B46E7">
      <w:pPr>
        <w:spacing w:after="0" w:line="240" w:lineRule="auto"/>
        <w:jc w:val="both"/>
        <w:rPr>
          <w:rFonts w:ascii="Times New Roman" w:eastAsia="Times New Roman" w:hAnsi="Times New Roman" w:cs="Times New Roman"/>
          <w:sz w:val="28"/>
          <w:szCs w:val="28"/>
          <w:lang w:eastAsia="ru-RU"/>
        </w:rPr>
      </w:pPr>
      <w:r w:rsidRPr="00E166B3">
        <w:rPr>
          <w:rFonts w:ascii="Times New Roman" w:eastAsia="Times New Roman" w:hAnsi="Times New Roman" w:cs="Times New Roman"/>
          <w:sz w:val="28"/>
          <w:szCs w:val="28"/>
          <w:lang w:eastAsia="ru-RU"/>
        </w:rPr>
        <w:t>2) не выполнены условия оказания поддержки;</w:t>
      </w:r>
    </w:p>
    <w:p w:rsidR="00E166B3" w:rsidRPr="00E166B3" w:rsidRDefault="00E166B3" w:rsidP="006B46E7">
      <w:pPr>
        <w:spacing w:after="0" w:line="240" w:lineRule="auto"/>
        <w:jc w:val="both"/>
        <w:rPr>
          <w:rFonts w:ascii="Times New Roman" w:eastAsia="Times New Roman" w:hAnsi="Times New Roman" w:cs="Times New Roman"/>
          <w:sz w:val="28"/>
          <w:szCs w:val="28"/>
          <w:lang w:eastAsia="ru-RU"/>
        </w:rPr>
      </w:pPr>
      <w:r w:rsidRPr="00E166B3">
        <w:rPr>
          <w:rFonts w:ascii="Times New Roman" w:eastAsia="Times New Roman" w:hAnsi="Times New Roman" w:cs="Times New Roman"/>
          <w:sz w:val="28"/>
          <w:szCs w:val="28"/>
          <w:lang w:eastAsia="ru-RU"/>
        </w:rPr>
        <w:t>3) ранее в отношении заявителя - субъекта малого или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E166B3" w:rsidRPr="00E166B3" w:rsidRDefault="00E166B3" w:rsidP="006B46E7">
      <w:pPr>
        <w:spacing w:after="0" w:line="240" w:lineRule="auto"/>
        <w:jc w:val="both"/>
        <w:rPr>
          <w:rFonts w:ascii="Times New Roman" w:eastAsia="Times New Roman" w:hAnsi="Times New Roman" w:cs="Times New Roman"/>
          <w:sz w:val="28"/>
          <w:szCs w:val="28"/>
          <w:lang w:eastAsia="ru-RU"/>
        </w:rPr>
      </w:pPr>
      <w:r w:rsidRPr="00E166B3">
        <w:rPr>
          <w:rFonts w:ascii="Times New Roman" w:eastAsia="Times New Roman" w:hAnsi="Times New Roman" w:cs="Times New Roman"/>
          <w:sz w:val="28"/>
          <w:szCs w:val="28"/>
          <w:lang w:eastAsia="ru-RU"/>
        </w:rPr>
        <w:t>4)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p>
    <w:p w:rsidR="00E166B3" w:rsidRPr="00E166B3" w:rsidRDefault="00E166B3" w:rsidP="006B46E7">
      <w:pPr>
        <w:spacing w:after="0" w:line="240" w:lineRule="auto"/>
        <w:jc w:val="both"/>
        <w:rPr>
          <w:rFonts w:ascii="Times New Roman" w:eastAsia="Times New Roman" w:hAnsi="Times New Roman" w:cs="Times New Roman"/>
          <w:sz w:val="28"/>
          <w:szCs w:val="28"/>
          <w:lang w:eastAsia="ru-RU"/>
        </w:rPr>
      </w:pPr>
      <w:r w:rsidRPr="00E166B3">
        <w:rPr>
          <w:rFonts w:ascii="Times New Roman" w:eastAsia="Times New Roman" w:hAnsi="Times New Roman" w:cs="Times New Roman"/>
          <w:sz w:val="28"/>
          <w:szCs w:val="28"/>
          <w:lang w:eastAsia="ru-RU"/>
        </w:rPr>
        <w:t>6. Сроки рассмотрения предусмотренных </w:t>
      </w:r>
      <w:hyperlink r:id="rId11" w:anchor="dst100137" w:history="1">
        <w:r w:rsidRPr="00E166B3">
          <w:rPr>
            <w:rFonts w:ascii="Times New Roman" w:eastAsia="Times New Roman" w:hAnsi="Times New Roman" w:cs="Times New Roman"/>
            <w:sz w:val="28"/>
            <w:szCs w:val="28"/>
            <w:u w:val="single"/>
            <w:lang w:eastAsia="ru-RU"/>
          </w:rPr>
          <w:t>частью 2</w:t>
        </w:r>
      </w:hyperlink>
      <w:r w:rsidRPr="00E166B3">
        <w:rPr>
          <w:rFonts w:ascii="Times New Roman" w:eastAsia="Times New Roman" w:hAnsi="Times New Roman" w:cs="Times New Roman"/>
          <w:sz w:val="28"/>
          <w:szCs w:val="28"/>
          <w:lang w:eastAsia="ru-RU"/>
        </w:rP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w:t>
      </w:r>
      <w:r w:rsidRPr="00E166B3">
        <w:rPr>
          <w:rFonts w:ascii="Times New Roman" w:eastAsia="Times New Roman" w:hAnsi="Times New Roman" w:cs="Times New Roman"/>
          <w:sz w:val="28"/>
          <w:szCs w:val="28"/>
          <w:lang w:eastAsia="ru-RU"/>
        </w:rPr>
        <w:lastRenderedPageBreak/>
        <w:t>Федерации, государственных программ (подпрограмм) субъектов Российской Федерации, муниципальных программ (подпрограмм). Каждый субъект малого или среднего предпринимательства должен быть проинформирован о решении, принятом по такому обращению, в течение пяти дней со дня его принятия.</w:t>
      </w:r>
    </w:p>
    <w:p w:rsidR="00C81AD7" w:rsidRPr="006B46E7" w:rsidRDefault="00C81AD7" w:rsidP="006B46E7">
      <w:pPr>
        <w:jc w:val="both"/>
        <w:rPr>
          <w:sz w:val="28"/>
          <w:szCs w:val="28"/>
        </w:rPr>
      </w:pPr>
    </w:p>
    <w:sectPr w:rsidR="00C81AD7" w:rsidRPr="006B46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980"/>
    <w:rsid w:val="000D4980"/>
    <w:rsid w:val="004346F9"/>
    <w:rsid w:val="004B66E1"/>
    <w:rsid w:val="006B46E7"/>
    <w:rsid w:val="007B0112"/>
    <w:rsid w:val="00A21893"/>
    <w:rsid w:val="00C22427"/>
    <w:rsid w:val="00C81AD7"/>
    <w:rsid w:val="00E166B3"/>
    <w:rsid w:val="00FA5B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1A610"/>
  <w15:chartTrackingRefBased/>
  <w15:docId w15:val="{6EBD6119-3FDB-4685-9C20-6C4F5163B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248511">
      <w:bodyDiv w:val="1"/>
      <w:marLeft w:val="0"/>
      <w:marRight w:val="0"/>
      <w:marTop w:val="0"/>
      <w:marBottom w:val="0"/>
      <w:divBdr>
        <w:top w:val="none" w:sz="0" w:space="0" w:color="auto"/>
        <w:left w:val="none" w:sz="0" w:space="0" w:color="auto"/>
        <w:bottom w:val="none" w:sz="0" w:space="0" w:color="auto"/>
        <w:right w:val="none" w:sz="0" w:space="0" w:color="auto"/>
      </w:divBdr>
      <w:divsChild>
        <w:div w:id="1778136095">
          <w:marLeft w:val="0"/>
          <w:marRight w:val="0"/>
          <w:marTop w:val="0"/>
          <w:marBottom w:val="0"/>
          <w:divBdr>
            <w:top w:val="none" w:sz="0" w:space="0" w:color="auto"/>
            <w:left w:val="none" w:sz="0" w:space="0" w:color="auto"/>
            <w:bottom w:val="none" w:sz="0" w:space="0" w:color="auto"/>
            <w:right w:val="none" w:sz="0" w:space="0" w:color="auto"/>
          </w:divBdr>
        </w:div>
        <w:div w:id="429157741">
          <w:marLeft w:val="0"/>
          <w:marRight w:val="0"/>
          <w:marTop w:val="210"/>
          <w:marBottom w:val="0"/>
          <w:divBdr>
            <w:top w:val="none" w:sz="0" w:space="0" w:color="auto"/>
            <w:left w:val="none" w:sz="0" w:space="0" w:color="auto"/>
            <w:bottom w:val="none" w:sz="0" w:space="0" w:color="auto"/>
            <w:right w:val="none" w:sz="0" w:space="0" w:color="auto"/>
          </w:divBdr>
        </w:div>
        <w:div w:id="609552171">
          <w:marLeft w:val="0"/>
          <w:marRight w:val="0"/>
          <w:marTop w:val="0"/>
          <w:marBottom w:val="0"/>
          <w:divBdr>
            <w:top w:val="none" w:sz="0" w:space="0" w:color="auto"/>
            <w:left w:val="none" w:sz="0" w:space="0" w:color="auto"/>
            <w:bottom w:val="none" w:sz="0" w:space="0" w:color="auto"/>
            <w:right w:val="none" w:sz="0" w:space="0" w:color="auto"/>
          </w:divBdr>
        </w:div>
        <w:div w:id="148525393">
          <w:marLeft w:val="0"/>
          <w:marRight w:val="0"/>
          <w:marTop w:val="0"/>
          <w:marBottom w:val="0"/>
          <w:divBdr>
            <w:top w:val="none" w:sz="0" w:space="0" w:color="auto"/>
            <w:left w:val="none" w:sz="0" w:space="0" w:color="auto"/>
            <w:bottom w:val="none" w:sz="0" w:space="0" w:color="auto"/>
            <w:right w:val="none" w:sz="0" w:space="0" w:color="auto"/>
          </w:divBdr>
        </w:div>
        <w:div w:id="784890065">
          <w:marLeft w:val="0"/>
          <w:marRight w:val="0"/>
          <w:marTop w:val="0"/>
          <w:marBottom w:val="0"/>
          <w:divBdr>
            <w:top w:val="none" w:sz="0" w:space="0" w:color="auto"/>
            <w:left w:val="none" w:sz="0" w:space="0" w:color="auto"/>
            <w:bottom w:val="none" w:sz="0" w:space="0" w:color="auto"/>
            <w:right w:val="none" w:sz="0" w:space="0" w:color="auto"/>
          </w:divBdr>
        </w:div>
        <w:div w:id="518736227">
          <w:marLeft w:val="0"/>
          <w:marRight w:val="0"/>
          <w:marTop w:val="0"/>
          <w:marBottom w:val="0"/>
          <w:divBdr>
            <w:top w:val="none" w:sz="0" w:space="0" w:color="auto"/>
            <w:left w:val="none" w:sz="0" w:space="0" w:color="auto"/>
            <w:bottom w:val="none" w:sz="0" w:space="0" w:color="auto"/>
            <w:right w:val="none" w:sz="0" w:space="0" w:color="auto"/>
          </w:divBdr>
        </w:div>
        <w:div w:id="1748455538">
          <w:marLeft w:val="0"/>
          <w:marRight w:val="0"/>
          <w:marTop w:val="0"/>
          <w:marBottom w:val="0"/>
          <w:divBdr>
            <w:top w:val="none" w:sz="0" w:space="0" w:color="auto"/>
            <w:left w:val="none" w:sz="0" w:space="0" w:color="auto"/>
            <w:bottom w:val="none" w:sz="0" w:space="0" w:color="auto"/>
            <w:right w:val="none" w:sz="0" w:space="0" w:color="auto"/>
          </w:divBdr>
        </w:div>
        <w:div w:id="1111169199">
          <w:marLeft w:val="0"/>
          <w:marRight w:val="0"/>
          <w:marTop w:val="0"/>
          <w:marBottom w:val="0"/>
          <w:divBdr>
            <w:top w:val="none" w:sz="0" w:space="0" w:color="auto"/>
            <w:left w:val="none" w:sz="0" w:space="0" w:color="auto"/>
            <w:bottom w:val="none" w:sz="0" w:space="0" w:color="auto"/>
            <w:right w:val="none" w:sz="0" w:space="0" w:color="auto"/>
          </w:divBdr>
        </w:div>
        <w:div w:id="114911771">
          <w:marLeft w:val="0"/>
          <w:marRight w:val="0"/>
          <w:marTop w:val="0"/>
          <w:marBottom w:val="0"/>
          <w:divBdr>
            <w:top w:val="none" w:sz="0" w:space="0" w:color="auto"/>
            <w:left w:val="none" w:sz="0" w:space="0" w:color="auto"/>
            <w:bottom w:val="none" w:sz="0" w:space="0" w:color="auto"/>
            <w:right w:val="none" w:sz="0" w:space="0" w:color="auto"/>
          </w:divBdr>
        </w:div>
        <w:div w:id="823936848">
          <w:marLeft w:val="0"/>
          <w:marRight w:val="0"/>
          <w:marTop w:val="0"/>
          <w:marBottom w:val="0"/>
          <w:divBdr>
            <w:top w:val="none" w:sz="0" w:space="0" w:color="auto"/>
            <w:left w:val="none" w:sz="0" w:space="0" w:color="auto"/>
            <w:bottom w:val="none" w:sz="0" w:space="0" w:color="auto"/>
            <w:right w:val="none" w:sz="0" w:space="0" w:color="auto"/>
          </w:divBdr>
        </w:div>
        <w:div w:id="1763912691">
          <w:marLeft w:val="0"/>
          <w:marRight w:val="0"/>
          <w:marTop w:val="0"/>
          <w:marBottom w:val="0"/>
          <w:divBdr>
            <w:top w:val="none" w:sz="0" w:space="0" w:color="auto"/>
            <w:left w:val="none" w:sz="0" w:space="0" w:color="auto"/>
            <w:bottom w:val="none" w:sz="0" w:space="0" w:color="auto"/>
            <w:right w:val="none" w:sz="0" w:space="0" w:color="auto"/>
          </w:divBdr>
        </w:div>
        <w:div w:id="429467526">
          <w:marLeft w:val="0"/>
          <w:marRight w:val="0"/>
          <w:marTop w:val="0"/>
          <w:marBottom w:val="0"/>
          <w:divBdr>
            <w:top w:val="none" w:sz="0" w:space="0" w:color="auto"/>
            <w:left w:val="none" w:sz="0" w:space="0" w:color="auto"/>
            <w:bottom w:val="none" w:sz="0" w:space="0" w:color="auto"/>
            <w:right w:val="none" w:sz="0" w:space="0" w:color="auto"/>
          </w:divBdr>
        </w:div>
        <w:div w:id="1426922194">
          <w:marLeft w:val="0"/>
          <w:marRight w:val="0"/>
          <w:marTop w:val="0"/>
          <w:marBottom w:val="0"/>
          <w:divBdr>
            <w:top w:val="none" w:sz="0" w:space="0" w:color="auto"/>
            <w:left w:val="none" w:sz="0" w:space="0" w:color="auto"/>
            <w:bottom w:val="none" w:sz="0" w:space="0" w:color="auto"/>
            <w:right w:val="none" w:sz="0" w:space="0" w:color="auto"/>
          </w:divBdr>
        </w:div>
        <w:div w:id="1820882936">
          <w:marLeft w:val="0"/>
          <w:marRight w:val="0"/>
          <w:marTop w:val="0"/>
          <w:marBottom w:val="0"/>
          <w:divBdr>
            <w:top w:val="none" w:sz="0" w:space="0" w:color="auto"/>
            <w:left w:val="none" w:sz="0" w:space="0" w:color="auto"/>
            <w:bottom w:val="none" w:sz="0" w:space="0" w:color="auto"/>
            <w:right w:val="none" w:sz="0" w:space="0" w:color="auto"/>
          </w:divBdr>
        </w:div>
        <w:div w:id="2769575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66853/c4dda76950086823809763473e10fa70d9707463/"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consultant.ru/document/cons_doc_LAW_477368/52e138cb1ddfd8b23f3fe8a953d266197d1f5a07/"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sultant.ru/document/cons_doc_LAW_482900/08fc56bd86e19a3adf05254e1449e3ae4694df32/" TargetMode="External"/><Relationship Id="rId11" Type="http://schemas.openxmlformats.org/officeDocument/2006/relationships/hyperlink" Target="https://www.consultant.ru/document/cons_doc_LAW_477368/f37831cb86dea1959749e24d246234941eca66cd/" TargetMode="External"/><Relationship Id="rId5" Type="http://schemas.openxmlformats.org/officeDocument/2006/relationships/hyperlink" Target="https://www.consultant.ru/document/cons_doc_LAW_480453/" TargetMode="External"/><Relationship Id="rId10" Type="http://schemas.openxmlformats.org/officeDocument/2006/relationships/hyperlink" Target="https://www.consultant.ru/document/cons_doc_LAW_485729/" TargetMode="External"/><Relationship Id="rId4" Type="http://schemas.openxmlformats.org/officeDocument/2006/relationships/hyperlink" Target="https://www.consultant.ru/document/cons_doc_LAW_52144/f37831cb86dea1959749e24d246234941eca66cd/" TargetMode="External"/><Relationship Id="rId9" Type="http://schemas.openxmlformats.org/officeDocument/2006/relationships/hyperlink" Target="https://www.consultant.ru/document/cons_doc_LAW_399955/4ca515a04b9116ac538da453cc2840109e06c6a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987</Words>
  <Characters>5629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2024-10-14T02:54:00Z</dcterms:created>
  <dcterms:modified xsi:type="dcterms:W3CDTF">2024-10-14T03:04:00Z</dcterms:modified>
</cp:coreProperties>
</file>