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036CF9" w:rsidTr="00036CF9">
        <w:tc>
          <w:tcPr>
            <w:tcW w:w="4039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4276556" r:id="rId5"/>
              </w:object>
            </w:r>
          </w:p>
        </w:tc>
        <w:tc>
          <w:tcPr>
            <w:tcW w:w="4265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10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Тел. 8-394-50-2-17-03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  <w:tr w:rsidR="00036CF9" w:rsidTr="00036CF9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lassic Russian" w:eastAsia="Times New Roman" w:hAnsi="Classic Russian"/>
                <w:b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036CF9" w:rsidTr="00036CF9">
        <w:tc>
          <w:tcPr>
            <w:tcW w:w="4039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Classic Russian" w:eastAsia="Times New Roman" w:hAnsi="Classic Russian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</w:p>
        </w:tc>
        <w:tc>
          <w:tcPr>
            <w:tcW w:w="4265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Academy" w:eastAsia="Times New Roman" w:hAnsi="Academy"/>
                <w:sz w:val="18"/>
                <w:szCs w:val="24"/>
              </w:rPr>
            </w:pPr>
          </w:p>
        </w:tc>
      </w:tr>
      <w:tr w:rsidR="00036CF9" w:rsidTr="00036CF9">
        <w:tc>
          <w:tcPr>
            <w:tcW w:w="4039" w:type="dxa"/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41</w:t>
            </w:r>
          </w:p>
        </w:tc>
        <w:tc>
          <w:tcPr>
            <w:tcW w:w="1623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</w:p>
        </w:tc>
        <w:tc>
          <w:tcPr>
            <w:tcW w:w="4265" w:type="dxa"/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Academy" w:eastAsia="Times New Roman" w:hAnsi="Academy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05 </w:t>
            </w:r>
            <w:r>
              <w:rPr>
                <w:rFonts w:ascii="Academy" w:eastAsia="Times New Roman" w:hAnsi="Academy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ноября 2025 г.</w:t>
            </w:r>
          </w:p>
        </w:tc>
      </w:tr>
    </w:tbl>
    <w:p w:rsidR="00036CF9" w:rsidRDefault="00036CF9" w:rsidP="00036CF9">
      <w:pPr>
        <w:autoSpaceDE w:val="0"/>
        <w:autoSpaceDN w:val="0"/>
        <w:adjustRightInd w:val="0"/>
        <w:spacing w:before="226" w:after="0" w:line="274" w:lineRule="exact"/>
        <w:ind w:firstLine="408"/>
        <w:jc w:val="center"/>
        <w:rPr>
          <w:rFonts w:ascii="Times New Roman" w:eastAsia="Times New Roman" w:hAnsi="Times New Roman"/>
          <w:b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10"/>
          <w:sz w:val="28"/>
          <w:szCs w:val="28"/>
          <w:lang w:eastAsia="ru-RU"/>
        </w:rPr>
        <w:t>ПОСТАНОВЛЕНИЕ</w:t>
      </w:r>
    </w:p>
    <w:p w:rsidR="00036CF9" w:rsidRDefault="00036CF9" w:rsidP="00036CF9">
      <w:pPr>
        <w:autoSpaceDE w:val="0"/>
        <w:autoSpaceDN w:val="0"/>
        <w:adjustRightInd w:val="0"/>
        <w:spacing w:before="226" w:after="0" w:line="274" w:lineRule="exact"/>
        <w:ind w:firstLine="408"/>
        <w:jc w:val="center"/>
        <w:rPr>
          <w:rFonts w:ascii="Times New Roman" w:eastAsia="Times New Roman" w:hAnsi="Times New Roman"/>
          <w:b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10"/>
          <w:sz w:val="28"/>
          <w:szCs w:val="28"/>
          <w:lang w:eastAsia="ru-RU"/>
        </w:rPr>
        <w:t xml:space="preserve"> Администрации сельского поселения сумона Ырбан</w:t>
      </w:r>
    </w:p>
    <w:p w:rsidR="00036CF9" w:rsidRDefault="00036CF9" w:rsidP="00036CF9">
      <w:pPr>
        <w:autoSpaceDE w:val="0"/>
        <w:autoSpaceDN w:val="0"/>
        <w:adjustRightInd w:val="0"/>
        <w:spacing w:before="226" w:after="0" w:line="274" w:lineRule="exact"/>
        <w:ind w:firstLine="408"/>
        <w:jc w:val="center"/>
        <w:rPr>
          <w:rFonts w:ascii="Times New Roman" w:eastAsia="Times New Roman" w:hAnsi="Times New Roman"/>
          <w:b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10"/>
          <w:sz w:val="28"/>
          <w:szCs w:val="28"/>
          <w:lang w:eastAsia="ru-RU"/>
        </w:rPr>
        <w:t>Тоджинского кожууна Республики Тыва</w:t>
      </w:r>
    </w:p>
    <w:p w:rsidR="00036CF9" w:rsidRDefault="00036CF9" w:rsidP="00036CF9">
      <w:pPr>
        <w:spacing w:after="0" w:line="240" w:lineRule="auto"/>
        <w:jc w:val="center"/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муниципальную программу </w:t>
      </w:r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«Поддержка и развитие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>деятельности  добровольной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 народной  дружины</w:t>
      </w:r>
      <w:r>
        <w:rPr>
          <w:rFonts w:ascii="Times New Roman" w:eastAsia="Times New Roman" w:hAnsi="Times New Roman"/>
          <w:color w:val="595651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» сумона Ырбан Тоджинского кожууна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 2024-2026 годы » от 08.11.2023г. № 37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Руководствуясь ст. 14 Федерального Закона Российской Федерации № 131-ФЗ «Об общих принципах организации местного самоуправления в Российской           Федерации», Федеральным законом от 02.04.2014 N 44-ФЗ "Об участии граждан в охране общественного порядка», руководствуясь </w:t>
      </w: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Уставом, постановлением администрации №24 от 23.11.2022г.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создании добровольной народной дружины по охране общественного порядка на территории сельского поселения с. Ырбан», Администрация ПОСТАНОВЛЯЕТ: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Внести изменения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 муниципальную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программу 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>«Поддержка и развитие деятельности  добровольной народной  дружины</w:t>
      </w:r>
      <w:r>
        <w:rPr>
          <w:rFonts w:ascii="Times New Roman" w:eastAsia="Times New Roman" w:hAnsi="Times New Roman"/>
          <w:color w:val="595651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» сумона Ырбан Тоджинского кожууна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 2024-2026 годы »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Установить, что в ходе реализации муниципальной программы                    мероприятия 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объемы  их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финансирования подлежат  корректировке с учетом возможностей средств бюджета муниципального образования СПС Ырбан..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Разместить настоящее постановление в сети Интернет на   официальном   сайте 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.</w:t>
      </w:r>
      <w:proofErr w:type="gramEnd"/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Ырбан                                                                       И. Н. Радионов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bottomFromText="160" w:horzAnchor="margin" w:tblpXSpec="center" w:tblpY="-330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036CF9" w:rsidTr="00036CF9">
        <w:trPr>
          <w:trHeight w:val="1452"/>
        </w:trPr>
        <w:tc>
          <w:tcPr>
            <w:tcW w:w="10173" w:type="dxa"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Приложение № 1</w:t>
            </w:r>
          </w:p>
          <w:p w:rsidR="00036CF9" w:rsidRDefault="00036CF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 постановлению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</w:p>
          <w:p w:rsidR="00036CF9" w:rsidRDefault="00036CF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   05.11.2025г. №41  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МУНИЦИПАЛЬНАЯ ПРОГРАММА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 Поддержка и развитие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>деятельности  добровольной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 народной  дружины</w:t>
      </w:r>
      <w:r>
        <w:rPr>
          <w:rFonts w:ascii="Times New Roman" w:eastAsia="Times New Roman" w:hAnsi="Times New Roman"/>
          <w:color w:val="595651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  <w:t xml:space="preserve">» сумона Ырбан Тоджинского кожууна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 2026-2028 годы 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2025г.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 ПРОГРАММЫ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sub_18001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Поддержка и развитие </w:t>
      </w:r>
      <w:proofErr w:type="gramStart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>деятельности  добровольной</w:t>
      </w:r>
      <w:proofErr w:type="gramEnd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 народной  дружины</w:t>
      </w:r>
      <w:r>
        <w:rPr>
          <w:rFonts w:ascii="Times New Roman" w:eastAsia="Times New Roman" w:hAnsi="Times New Roman"/>
          <w:color w:val="595651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>» сумона Ырбан Тоджинского кожууна</w:t>
      </w:r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 2026-2028 годы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665"/>
        <w:gridCol w:w="6519"/>
      </w:tblGrid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EFEFA"/>
              </w:rPr>
              <w:t xml:space="preserve">«Поддержка и развитие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EFEFA"/>
              </w:rPr>
              <w:t>деятельности  добровольной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EFEFA"/>
              </w:rPr>
              <w:t xml:space="preserve"> народной  дружины</w:t>
            </w:r>
            <w:r>
              <w:rPr>
                <w:rFonts w:ascii="Times New Roman" w:eastAsia="Times New Roman" w:hAnsi="Times New Roman"/>
                <w:color w:val="595651"/>
                <w:sz w:val="24"/>
                <w:szCs w:val="24"/>
                <w:shd w:val="clear" w:color="auto" w:fill="FEFEF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EFA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EFA"/>
              </w:rPr>
              <w:t>Ырбанская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EFEFA"/>
              </w:rPr>
              <w:t>» сумона Ырбан Тоджинского кожууна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EFEF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 2026-2028 годы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(далее Программа)</w:t>
            </w:r>
          </w:p>
        </w:tc>
      </w:tr>
      <w:tr w:rsidR="00036CF9" w:rsidTr="00036CF9">
        <w:trPr>
          <w:trHeight w:val="3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Администраци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СПС Ырбан 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1" w:name="_Hlk27576823"/>
            <w:r>
              <w:rPr>
                <w:rFonts w:ascii="Times New Roman" w:eastAsia="Times New Roman" w:hAnsi="Times New Roman"/>
                <w:sz w:val="24"/>
                <w:szCs w:val="24"/>
              </w:rPr>
              <w:t>- Федеральный закон от 06.10.2003 г. № 131-ФЗ «Об общих принципах организации местного самоуправления в Российской Федерации»</w:t>
            </w:r>
            <w:bookmarkEnd w:id="1"/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 Бюджетный кодекс РФ;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 Федеральный закон от 02.04.2014 № 44-ФЗ «Об участии граждан в охране общественного порядка»;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Целями Программы являются: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создание эффективной системы обеспечения общественного порядка и общественной безопасности, условий, обеспечивающих формирование правовой культуры и правового сознания населения с. Ырбан, путём осуществления комплекса мер и создания механизмов их реализации, способных стабилизировать криминогенную ситуацию и сформировать условия для развития деятельности Добровольной народной дружины.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Основные задачи Программы: 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Создание условий для повышения роли населения в обеспечении охраны правопорядка;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Создание условий для деятельности добровольных формирований по охране общественного порядка, улучшение их взаимодействия с правоохранительными органами, увеличение коэффициента обеспеченности (плотности патрульно-постовых нарядов);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Повышение эффективности совместной деятельности Добровольной народной дружины с правоохранительными органами путем проведения комплекса оперативно-профилактических мероприятий;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Совершенствование системы социальной профилактики правонарушений, направленной на активизацию борьбы с пьянством, алкоголизмом, наркоманией, преступностью;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Повышение правовой грамотности населения путем регулярного информирования и просвещения.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Целевые индикаторы программы и их значения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увеличение количества населения, участвующих в профилактике преступлений и правонарушений; </w:t>
            </w:r>
          </w:p>
          <w:p w:rsidR="00036CF9" w:rsidRDefault="00036CF9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выявление правонарушений при участии членов ДНД;</w:t>
            </w:r>
          </w:p>
          <w:p w:rsidR="00036CF9" w:rsidRDefault="00036CF9">
            <w:pPr>
              <w:widowControl w:val="0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выявление преступлений при участии членов ДНД;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- увеличение количества членов ДНД;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2026 -2028 годы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информационно-пропагандистское обеспечение мероприятий по обеспечению деятельности ДНД;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содействие в организации деятельности ДНД;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содержание ДНД;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Исполнители основных мероприятий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Администрация с. Ырбан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Прогнозный объем финансирования Программы составляет 39,0 тыс. рублей в том числе по годам: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2026 –  13,0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тыс. руб., 2027-13 тыс. руб., 2028- 13 тыс. руб.</w:t>
            </w:r>
          </w:p>
        </w:tc>
      </w:tr>
      <w:tr w:rsidR="00036CF9" w:rsidTr="00036CF9">
        <w:trPr>
          <w:trHeight w:val="23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Реализация мероприятий Программы позволит решить проблемы обеспечения общественной безопасности и правопорядка, затрагивающие жизненно важные интересы каждого гражданина, общественных объединений и пути повышения эффективности работы органов охраны правопорядка совместно с добровольной народной дружиной и населением на территории СПС Ырбан.</w:t>
            </w:r>
          </w:p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Реализация Программы будет способствовать реализации государственной политики в области военно-патриотического и гражданского воспитания молодежи, поддержанию общественного порядка, повышению уровня безопасности населения посредством привлечения населения к участию в охране общественного порядка в рамках работы добровольной народной дружины. 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П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редупреждение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преступлений, пресечение административных правонарушений и профилактика совершения правонарушений</w:t>
            </w:r>
          </w:p>
        </w:tc>
      </w:tr>
      <w:tr w:rsidR="00036CF9" w:rsidTr="00036CF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Система организации контроля за исполнением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t>Контроль за исполнением Программы возлагается на  председателя администрации  СПС Ырбан. Текущая  информация и доклады о ходе выполнения       программы и об использовании средств    муниципального бюджета представляются  исполнителями Программы в установленном порядке.</w:t>
            </w:r>
          </w:p>
        </w:tc>
      </w:tr>
      <w:bookmarkEnd w:id="0"/>
    </w:tbl>
    <w:p w:rsidR="00036CF9" w:rsidRDefault="00036CF9" w:rsidP="00036CF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СОДЕРЖАНИЕ ПРОБЛЕМЫ И ОБОСНОВАНИЕ НЕОБХОДИМОСТИ ЕЕ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РЕШЕНИЯ ПРОГРАММНЫМИ МЕТОДАМИ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п. 33 ст. 14 Федерального Закона от 06.10.2003 № 131-ФЗ «Об организации местного самоуправления в Российской Федерации» к компетенции органов местного самоуправления сельского поселения отнесен следующий вопрос местного значения: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Нормативная основа обеспечения оказания поддержки гражданам и их объединениям, участвующим в охране общественного порядка, создание условий для деятельности народных дружин составляет: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Федеральный закон от 02.04.2014 № 44-ФЗ «Об участии граждан в охране общественного порядка»;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ab/>
        <w:t xml:space="preserve">Для обеспечения безопасности проживания граждан и сохранения их имущества на территории муниципального образования требуется серьезная работа со стороны различных ветвей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власти  муниципального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образования.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улучшения криминогенной ситуации на территории муниципального образования необходима совместная деятельность не только правоохранительных органов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 муниципального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образования,  но и общественных организаций,  отдельных граждан.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мероприятий программы позволит снизить общие показатели преступности, улучшить общие условия безопасности граждан и их имущества на территории поселения.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ЦЕЛИ И ЗАДАЧИ ПРОГРАММЫ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Данная Программа ставит своей целью проведение мероприятий по совершенствованию работы добровольной народной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дружины  «</w:t>
      </w:r>
      <w:proofErr w:type="spellStart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на территории   поселения.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Добровольная народная дружина по охране общественного порядка является формой непосредственного участия населения в осуществлении местного самоуправления и создана с целью содействия правоохранительным органам в их деятельности по обеспечению общественного порядка, в работе по улучшению условий безопасности жителей, профилактике и предотвращению правонарушений на территории СПС Ырбан. Задачей добровольной народной дружины МО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является оказание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помощи  правоохранительным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органам на территории поселения в решении следующих вопросов: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·  обеспечение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безопасности личности, поддержание правопорядка в общественных местах, профилактика преступлений и административных правонарушений, охрана и защита собственности, обеспечение безопасности дорожного движения, профилактика безнадзорности и беспризорности несовершеннолетних, пропаганда правовых знаний и правовое воспитание граждан;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·  обеспечение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неотложных аварийно-спасательных и карантинных мероприятий при возникновении стихийных бедствий, катастроф, эпидемий, эпизоотий и иных чрезвычайных ситуаций и ликвидации их последствий;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·  разъяснение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гражданам норм действующего законодательства, создание в обществе нетерпимости к нарушениям нравственных норм, правонарушениям и преступлениям.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Добровольная народная дружина МО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 (далее ДНД) под руководством командира добровольной народной дружины, при непосредственном участии сотрудников правоохранительных органов, принимают участие: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в охране общественного порядка на установленной территории, оказывать содействие правоохранительным органам в предупреждении и пресечении правонарушений и преступлений;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в профилактической работе с лицами, склонными к совершению правонарушений;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 работе по предупреждению и пресечению детской безнадзорности и беспризорности, правонарушений среди несовершеннолетних, индивидуальной профилактической работе с родителями и законными представителями несовершеннолетних, допускающих правонарушения.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Оказывать помощь государственным и правоохранительным органам в обеспечении безопасности населения и общественного порядка при возникновении стихийных бедствий, катастроф, аварий, эпидемий, иных чрезвычайных ситуаций и ликвидаций их последствий;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Оказывать помощь государственным органам и службам в выявлении лиц, проживающих без регистрации по месту жительства или пребывания, иностранных граждан, находящихся нелегально на территории России.</w:t>
      </w:r>
    </w:p>
    <w:p w:rsidR="00036CF9" w:rsidRDefault="00036CF9" w:rsidP="00036CF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Патрулировать улицы и общественные места на закрепленной территории, в том числе совместно с сотрудниками полиции. Принимать участие в проведении инструктажей нарядов перед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заступлением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службу по охране общественного порядка.</w:t>
      </w:r>
    </w:p>
    <w:p w:rsidR="00036CF9" w:rsidRDefault="00036CF9" w:rsidP="00036CF9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 допускается выполнение дружинниками задач и функций, отнесенных действующим законодательством к исключительной компетенции правоохранительных органов.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СРОК РЕАЛИЗАЦИИ ПРОГРАММЫ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 Программы – 2026-2028 год.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МЕХАНИЗМ РЕАЛИЗАЦИИ ПРОГРАММЫ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 исполнения, определение первоочередности выполнения мероприятий Программы возлагается на администрацию СПС Ырбан Тоджинского кожууна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курируемыми направлениями.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Итоги реализации программы подводятся в конце года в аналитических отчетах   администрации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 поселения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курируемыми направлениями, с выводами степени достижения целей и необходимости корректировки Программы.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целях достижения открытости хода выполнения Программы будут использованы следующие способы: два раза в год подготовка сводного аналитического отчета о ходе реализации Программы. Это позволит решить следующие задачи: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оценка эффективности полученных результатов;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выявление необходимости корректировки Программы на данном этапе и направление ее проведения.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РЕСУРСНОЕ ОБЕСПЕЧЕНИЕ ПРОГРАММЫ. ОБЪЕМЫ И ИСТОЧНИКИ ФИНАНСИРОВАНИЯ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Финансирование Программы осуществляется за счет средств местного бюджета.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финансирования  39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тыс., в 2026  году составляет– 13,0 тыс. руб., в 2027г.- 13 тыс. руб., в 2028г.- 13 тыс. руб.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 ОЖИДАЕМЫЕ КОНЕЧНЫЕ РЕЗУЛЬТАТЫ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Выполнение Программы будет способствовать дальнейшему созданию благоприятных условий для решения социальных проблем.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результатам исполнения Программы предполагается улучшение условий безопасного проживания граждан, снижения уровня криминогенной обстановки на территории СПС Ырбан Тоджинского кожууна, повышение уровня правовой культуры граждан и реализации их конституционного права по защите своих интересов от противоправных посягательств.</w:t>
      </w: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7.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 проведения мониторинга и оценки эффективности реализации муниципальной программы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7.1. Под мониторингом реализации муниципальной программы понимается система мероприятий по измерению фактических параметров исполнения муниципальной программы, определению их отклонений от плановых параметров, определению рисков,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возникших при реализации муниципальной программы, прогнозированию исполнения плановых значений.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 уровня и </w:t>
      </w:r>
      <w:r>
        <w:rPr>
          <w:rFonts w:ascii="Times New Roman" w:hAnsi="Times New Roman"/>
          <w:sz w:val="24"/>
          <w:szCs w:val="24"/>
          <w:shd w:val="clear" w:color="auto" w:fill="FFFFFF"/>
        </w:rPr>
        <w:t>осуществляется не реже одного раза в квартал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Мониторинг реализации государственной программы осуществляется на основе отчетов о ходе реализации государственной программы.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7.2. Подготовка отчета о ходе реализации муниципальной программы осуществляется ответственным исполнителем с учетом отчетов о ходе реализации муниципальных и ведомственных проектов, входящих в состав муниципальной программы, а также информации о ходе реализации комплексов процессных мероприятий.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7.3. </w:t>
      </w:r>
      <w:r>
        <w:rPr>
          <w:rFonts w:ascii="Times New Roman" w:hAnsi="Times New Roman"/>
          <w:sz w:val="24"/>
          <w:szCs w:val="24"/>
          <w:shd w:val="clear" w:color="auto" w:fill="FFFFFF"/>
        </w:rPr>
        <w:t>Квартально предоставляется отчётность по тем показателям, по которым разрабатывается квартальный план.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7.7. Формирование ежеквартального отчета о ходе реализации муниципальной программы осуществляется не позднее 13-го числа месяца, следующего за отчетным периодом, а отчета о ходе реализации структурного элемента муниципальной программы не позднее 3-го рабочего дня месяца, следующего за отчетным периодом.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7.5. Ответственные исполнители муниципальных программ, допустившие невыполнение мероприятий (результатов) структурных элементов и контрольных точек, представляют председателю Администрации сельского поселения информацию 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причинах невыполнения и принимаемых мерах по их недопущению.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7.6. Формирование итогового годового отчета о ходе реализации муниципальной программы осуществляется не позднее 10 февраля года, следующего за отчетным (уточненный итоговый годовой отчет - до 8 апреля года, следующего за отчетным).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7.7. В отчете о ходе реализации муниципальной программы, отчетов о ходе реализации структурных элементов такой программы подлежат отражению фактические сведения о следующих параметрах: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а) показатели;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б) мероприятия (результаты);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в) показатели финансового обеспечения за счет всех источников финансирования;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г) контрольные точки.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 необходимости в отчеты, указанные в настоящем пункте, включаются иные сведения, в том числе информация о возможных рисках.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Формирование отчетности осуществляется с учетом сопоставимости с данными, содержащимися в паспорте муниципальной программы, паспорте ее структурного элемента.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7.8. Оценка эффективности реализации муниципальной программы проводится ответственным исполнителем в составе годового отчета.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7.9. По результатам оценки эффективности муниципальной программы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7.10. В случае принятия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решения о необходимости прекращения или об изменении начиная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поселения.</w:t>
      </w:r>
    </w:p>
    <w:p w:rsidR="00036CF9" w:rsidRDefault="00036CF9" w:rsidP="00036CF9">
      <w:pPr>
        <w:rPr>
          <w:rFonts w:ascii="Times New Roman" w:hAnsi="Times New Roman"/>
          <w:sz w:val="28"/>
          <w:szCs w:val="28"/>
        </w:rPr>
      </w:pPr>
    </w:p>
    <w:p w:rsidR="00036CF9" w:rsidRDefault="00036CF9" w:rsidP="00036CF9">
      <w:pPr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36CF9" w:rsidRDefault="00036CF9" w:rsidP="00036CF9">
      <w:pPr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7.2. Методика оценки эффективности и результативности реализации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 целевой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:rsidR="00036CF9" w:rsidRDefault="00036CF9" w:rsidP="00036CF9">
      <w:pPr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7.2.1. Данная Методика применяется для оценки результативности и эффективности реализации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муниципальной  целевой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сельского поселения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36CF9" w:rsidRDefault="00036CF9" w:rsidP="00036C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7.2.2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данной Методике используются понятия плановых и фактических значений целевых показателей, которые следует трактовать следующим образом:</w:t>
      </w:r>
    </w:p>
    <w:p w:rsidR="00036CF9" w:rsidRDefault="00036CF9" w:rsidP="00036CF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kern w:val="2"/>
          <w:sz w:val="24"/>
          <w:szCs w:val="24"/>
          <w:u w:val="single"/>
          <w:lang w:eastAsia="hi-IN" w:bidi="hi-IN"/>
        </w:rPr>
        <w:t>плановые значения</w:t>
      </w:r>
      <w:r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  <w:t xml:space="preserve"> – это значения, предусмотренные </w:t>
      </w:r>
      <w:proofErr w:type="gramStart"/>
      <w:r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  <w:t>муниципальной  целевой</w:t>
      </w:r>
      <w:proofErr w:type="gramEnd"/>
      <w:r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  <w:t xml:space="preserve"> программой с учетом последних утвержденных внесений изменений в муниципальную  целевую программу на момент отчета;</w:t>
      </w:r>
    </w:p>
    <w:p w:rsidR="00036CF9" w:rsidRDefault="00036CF9" w:rsidP="00036CF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kern w:val="2"/>
          <w:sz w:val="24"/>
          <w:szCs w:val="24"/>
          <w:u w:val="single"/>
          <w:lang w:eastAsia="hi-IN" w:bidi="hi-IN"/>
        </w:rPr>
        <w:t>фактические значения</w:t>
      </w:r>
      <w:r>
        <w:rPr>
          <w:rFonts w:ascii="Times New Roman" w:eastAsia="Arial Unicode MS" w:hAnsi="Times New Roman"/>
          <w:kern w:val="2"/>
          <w:sz w:val="24"/>
          <w:szCs w:val="24"/>
          <w:lang w:eastAsia="hi-IN" w:bidi="hi-IN"/>
        </w:rPr>
        <w:t xml:space="preserve"> – это значения, представляемые ответственным исполнителем муниципальной целевой программы как фактически достигнутые исполнителями муниципальной целевой программы в ходе ее реализации.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7.2.3. Результативность муниципальной целевой программы – степень достижения показателей целей муниципальной целевой программы на конец отчётного периода. </w:t>
      </w:r>
    </w:p>
    <w:p w:rsidR="00036CF9" w:rsidRDefault="00036CF9" w:rsidP="00036CF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spacing w:val="2"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  <w:t xml:space="preserve">Алгоритм расчёта индекса результативности </w:t>
      </w:r>
      <m:oMath>
        <m:sSub>
          <m:sSubPr>
            <m:ctrlPr>
              <w:rPr>
                <w:rFonts w:ascii="Cambria Math" w:hAnsi="Cambria Math"/>
                <w:bCs/>
                <w:i/>
                <w:spacing w:val="2"/>
                <w:kern w:val="2"/>
                <w:sz w:val="24"/>
                <w:szCs w:val="24"/>
                <w:lang w:eastAsia="hi-IN" w:bidi="hi-IN"/>
              </w:rPr>
            </m:ctrlPr>
          </m:sSubPr>
          <m:e>
            <m:r>
              <m:rPr>
                <m:sty m:val="p"/>
              </m:rPr>
              <w:rPr>
                <w:rFonts w:ascii="Cambria Math" w:eastAsia="Arial Unicode MS" w:hAnsi="Cambria Math"/>
                <w:spacing w:val="2"/>
                <w:kern w:val="2"/>
                <w:sz w:val="24"/>
                <w:szCs w:val="24"/>
                <w:lang w:eastAsia="hi-IN" w:bidi="hi-IN"/>
              </w:rPr>
              <m:t>(</m:t>
            </m:r>
            <m:r>
              <m:rPr>
                <m:sty m:val="p"/>
              </m:rPr>
              <w:rPr>
                <w:rFonts w:ascii="Cambria Math" w:eastAsia="Arial Unicode MS" w:hAnsi="Cambria Math"/>
                <w:spacing w:val="2"/>
                <w:kern w:val="2"/>
                <w:sz w:val="24"/>
                <w:szCs w:val="24"/>
                <w:lang w:val="en-US" w:eastAsia="hi-IN" w:bidi="hi-IN"/>
              </w:rPr>
              <m:t>R</m:t>
            </m:r>
          </m:e>
          <m:sub>
            <m:r>
              <w:rPr>
                <w:rFonts w:ascii="Cambria Math" w:hAnsi="Cambria Math"/>
                <w:spacing w:val="2"/>
                <w:kern w:val="2"/>
                <w:sz w:val="24"/>
                <w:szCs w:val="24"/>
                <w:lang w:eastAsia="hi-IN" w:bidi="hi-IN"/>
              </w:rPr>
              <m:t>пр</m:t>
            </m:r>
          </m:sub>
        </m:sSub>
        <m:r>
          <w:rPr>
            <w:rFonts w:ascii="Cambria Math" w:eastAsia="Arial Unicode MS" w:hAnsi="Cambria Math"/>
            <w:spacing w:val="2"/>
            <w:kern w:val="2"/>
            <w:sz w:val="24"/>
            <w:szCs w:val="24"/>
            <w:lang w:eastAsia="hi-IN" w:bidi="hi-IN"/>
          </w:rPr>
          <m:t>):</m:t>
        </m:r>
      </m:oMath>
      <w:r>
        <w:rPr>
          <w:rFonts w:ascii="Times New Roman" w:eastAsia="Arial Unicode MS" w:hAnsi="Times New Roman"/>
          <w:bCs/>
          <w:spacing w:val="2"/>
          <w:kern w:val="2"/>
          <w:position w:val="-23"/>
          <w:sz w:val="24"/>
          <w:szCs w:val="24"/>
          <w:lang w:eastAsia="hi-IN" w:bidi="hi-IN"/>
        </w:rPr>
        <w:t xml:space="preserve"> </w:t>
      </w:r>
    </w:p>
    <w:p w:rsidR="00036CF9" w:rsidRDefault="00036CF9" w:rsidP="00036CF9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  <w:t>- рассчитать индекс результативности для целевого показателя (</w:t>
      </w:r>
      <w:r>
        <w:rPr>
          <w:rFonts w:ascii="Times New Roman" w:eastAsia="Arial Unicode MS" w:hAnsi="Times New Roman"/>
          <w:bCs/>
          <w:spacing w:val="2"/>
          <w:kern w:val="2"/>
          <w:sz w:val="24"/>
          <w:szCs w:val="24"/>
          <w:lang w:val="en-US" w:eastAsia="hi-IN" w:bidi="hi-IN"/>
        </w:rPr>
        <w:t>R</w:t>
      </w:r>
      <w:r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  <w:t>):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val="en-US" w:eastAsia="ru-RU"/>
        </w:rPr>
        <w:t>R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= </w:t>
      </w:r>
      <w:r>
        <w:rPr>
          <w:rFonts w:ascii="Times New Roman" w:eastAsia="Arial Unicode MS" w:hAnsi="Times New Roman"/>
          <w:bCs/>
          <w:spacing w:val="2"/>
          <w:kern w:val="2"/>
          <w:sz w:val="24"/>
          <w:szCs w:val="24"/>
          <w:lang w:eastAsia="hi-IN" w:bidi="hi-IN"/>
        </w:rPr>
        <w:t xml:space="preserve">Р </w:t>
      </w:r>
      <w:proofErr w:type="gramStart"/>
      <w:r>
        <w:rPr>
          <w:rFonts w:ascii="Times New Roman" w:eastAsia="Arial Unicode MS" w:hAnsi="Times New Roman"/>
          <w:bCs/>
          <w:spacing w:val="2"/>
          <w:kern w:val="2"/>
          <w:sz w:val="24"/>
          <w:szCs w:val="24"/>
          <w:vertAlign w:val="subscript"/>
          <w:lang w:eastAsia="hi-IN" w:bidi="hi-IN"/>
        </w:rPr>
        <w:t xml:space="preserve">факт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/</w:t>
      </w:r>
      <w:proofErr w:type="gram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/>
          <w:bCs/>
          <w:spacing w:val="2"/>
          <w:kern w:val="2"/>
          <w:sz w:val="24"/>
          <w:szCs w:val="24"/>
          <w:lang w:eastAsia="hi-IN" w:bidi="hi-IN"/>
        </w:rPr>
        <w:t xml:space="preserve"> Р </w:t>
      </w:r>
      <w:r>
        <w:rPr>
          <w:rFonts w:ascii="Times New Roman" w:eastAsia="Arial Unicode MS" w:hAnsi="Times New Roman"/>
          <w:bCs/>
          <w:spacing w:val="2"/>
          <w:kern w:val="2"/>
          <w:sz w:val="24"/>
          <w:szCs w:val="24"/>
          <w:vertAlign w:val="subscript"/>
          <w:lang w:eastAsia="hi-IN" w:bidi="hi-IN"/>
        </w:rPr>
        <w:t xml:space="preserve">план </w:t>
      </w:r>
      <w:r>
        <w:rPr>
          <w:rFonts w:ascii="Times New Roman" w:eastAsia="Arial Unicode MS" w:hAnsi="Times New Roman"/>
          <w:bCs/>
          <w:spacing w:val="2"/>
          <w:kern w:val="2"/>
          <w:sz w:val="24"/>
          <w:szCs w:val="24"/>
          <w:lang w:eastAsia="hi-IN" w:bidi="hi-IN"/>
        </w:rPr>
        <w:t>* 100%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hAnsi="Times New Roman"/>
          <w:i/>
          <w:spacing w:val="2"/>
          <w:sz w:val="24"/>
          <w:szCs w:val="24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где: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pacing w:val="2"/>
          <w:sz w:val="24"/>
          <w:szCs w:val="24"/>
          <w:lang w:val="en-US" w:eastAsia="ru-RU"/>
        </w:rPr>
        <w:t>P</w:t>
      </w:r>
      <w:r>
        <w:rPr>
          <w:rFonts w:ascii="Times New Roman" w:eastAsia="Times New Roman" w:hAnsi="Times New Roman"/>
          <w:spacing w:val="2"/>
          <w:sz w:val="24"/>
          <w:szCs w:val="24"/>
          <w:vertAlign w:val="subscript"/>
          <w:lang w:eastAsia="ru-RU"/>
        </w:rPr>
        <w:t xml:space="preserve">факт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— фактическое значение целевого показателя </w:t>
      </w:r>
      <w:proofErr w:type="gramStart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муниципальной  целевой</w:t>
      </w:r>
      <w:proofErr w:type="gram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программы на конец отчетного периода;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pacing w:val="2"/>
          <w:sz w:val="24"/>
          <w:szCs w:val="24"/>
          <w:lang w:val="en-US" w:eastAsia="ru-RU"/>
        </w:rPr>
        <w:t>P</w:t>
      </w:r>
      <w:r>
        <w:rPr>
          <w:rFonts w:ascii="Times New Roman" w:eastAsia="Times New Roman" w:hAnsi="Times New Roman"/>
          <w:spacing w:val="2"/>
          <w:sz w:val="24"/>
          <w:szCs w:val="24"/>
          <w:vertAlign w:val="subscript"/>
          <w:lang w:eastAsia="ru-RU"/>
        </w:rPr>
        <w:t xml:space="preserve">план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— плановое значение целевого показателя </w:t>
      </w:r>
      <w:proofErr w:type="gramStart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муниципальной  целевой</w:t>
      </w:r>
      <w:proofErr w:type="gram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программы на конец отчетного периода;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036CF9" w:rsidRDefault="00036CF9" w:rsidP="00036CF9">
      <w:pPr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</w:pPr>
      <w:r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  <w:t>- рассчитать индекс результативности для муниципальной целевой программы (</w:t>
      </w:r>
      <m:oMath>
        <m:sSub>
          <m:sSubPr>
            <m:ctrlPr>
              <w:rPr>
                <w:rFonts w:ascii="Cambria Math" w:hAnsi="Cambria Math"/>
                <w:i/>
                <w:spacing w:val="2"/>
                <w:kern w:val="2"/>
                <w:sz w:val="24"/>
                <w:szCs w:val="24"/>
                <w:lang w:eastAsia="hi-IN" w:bidi="hi-IN"/>
              </w:rPr>
            </m:ctrlPr>
          </m:sSubPr>
          <m:e>
            <m:r>
              <w:rPr>
                <w:rFonts w:ascii="Cambria Math" w:eastAsia="Arial Unicode MS" w:hAnsi="Cambria Math"/>
                <w:spacing w:val="2"/>
                <w:kern w:val="2"/>
                <w:sz w:val="24"/>
                <w:szCs w:val="24"/>
                <w:lang w:val="en-US" w:eastAsia="hi-IN" w:bidi="hi-IN"/>
              </w:rPr>
              <m:t>R</m:t>
            </m:r>
          </m:e>
          <m:sub>
            <m:r>
              <w:rPr>
                <w:rFonts w:ascii="Cambria Math" w:eastAsia="Arial Unicode MS" w:hAnsi="Cambria Math"/>
                <w:spacing w:val="2"/>
                <w:kern w:val="2"/>
                <w:sz w:val="24"/>
                <w:szCs w:val="24"/>
                <w:lang w:eastAsia="hi-IN" w:bidi="hi-IN"/>
              </w:rPr>
              <m:t>пр</m:t>
            </m:r>
          </m:sub>
        </m:sSub>
      </m:oMath>
      <w:r>
        <w:rPr>
          <w:rFonts w:ascii="Times New Roman" w:eastAsia="Arial Unicode MS" w:hAnsi="Times New Roman"/>
          <w:spacing w:val="2"/>
          <w:kern w:val="2"/>
          <w:sz w:val="24"/>
          <w:szCs w:val="24"/>
          <w:lang w:eastAsia="hi-IN" w:bidi="hi-IN"/>
        </w:rPr>
        <w:t>) по формуле:</w:t>
      </w:r>
    </w:p>
    <w:p w:rsidR="00036CF9" w:rsidRDefault="00036CF9" w:rsidP="00036CF9">
      <w:pPr>
        <w:spacing w:after="0" w:line="240" w:lineRule="auto"/>
        <w:ind w:firstLine="709"/>
        <w:jc w:val="center"/>
        <w:rPr>
          <w:rFonts w:ascii="Times New Roman" w:hAnsi="Times New Roman"/>
          <w:spacing w:val="2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spacing w:val="2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pacing w:val="2"/>
                <w:sz w:val="24"/>
                <w:szCs w:val="24"/>
                <w:lang w:val="en-US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pacing w:val="2"/>
                <w:sz w:val="24"/>
                <w:szCs w:val="24"/>
              </w:rPr>
              <m:t>пр</m:t>
            </m:r>
          </m:sub>
        </m:sSub>
        <m:r>
          <m:rPr>
            <m:sty m:val="bi"/>
          </m:rPr>
          <w:rPr>
            <w:rFonts w:ascii="Cambria Math" w:hAnsi="Cambria Math"/>
            <w:spacing w:val="2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/>
                <w:spacing w:val="2"/>
                <w:sz w:val="24"/>
                <w:szCs w:val="24"/>
                <w:lang w:val="en-US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b/>
                    <w:bCs/>
                    <w:i/>
                    <w:spacing w:val="2"/>
                    <w:sz w:val="24"/>
                    <w:szCs w:val="24"/>
                    <w:lang w:val="en-US"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hAnsi="Cambria Math"/>
                    <w:spacing w:val="2"/>
                    <w:sz w:val="24"/>
                    <w:szCs w:val="24"/>
                    <w:lang w:val="en-US"/>
                  </w:rPr>
                  <m:t>i</m:t>
                </m:r>
                <m:r>
                  <m:rPr>
                    <m:sty m:val="bi"/>
                  </m:rPr>
                  <w:rPr>
                    <w:rFonts w:ascii="Cambria Math" w:hAnsi="Cambria Math"/>
                    <w:spacing w:val="2"/>
                    <w:sz w:val="24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spacing w:val="2"/>
                    <w:sz w:val="24"/>
                    <w:szCs w:val="24"/>
                    <w:lang w:val="en-US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  <w:spacing w:val="2"/>
                    <w:sz w:val="24"/>
                    <w:szCs w:val="24"/>
                    <w:lang w:val="en-US"/>
                  </w:rPr>
                  <m:t>p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spacing w:val="2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pacing w:val="2"/>
                        <w:sz w:val="24"/>
                        <w:szCs w:val="24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pacing w:val="2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pacing w:val="2"/>
                <w:sz w:val="24"/>
                <w:szCs w:val="24"/>
                <w:lang w:val="en-US"/>
              </w:rPr>
              <m:t>p</m:t>
            </m:r>
          </m:den>
        </m:f>
      </m:oMath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,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где: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pacing w:val="2"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pacing w:val="2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pacing w:val="2"/>
                <w:sz w:val="24"/>
                <w:szCs w:val="24"/>
                <w:lang w:val="en-US"/>
              </w:rPr>
              <m:t>i</m:t>
            </m:r>
          </m:sub>
        </m:sSub>
      </m:oMath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— индекс результативности каждого целевого показателя </w:t>
      </w:r>
      <w:proofErr w:type="gramStart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муниципальной  целевой</w:t>
      </w:r>
      <w:proofErr w:type="gram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программы;            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pacing w:val="2"/>
          <w:sz w:val="24"/>
          <w:szCs w:val="24"/>
          <w:lang w:val="en-US" w:eastAsia="ru-RU"/>
        </w:rPr>
        <w:t>p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– количество целевых показателей муниципальной целевой программы.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Критерии оценки результативности муниципальной целевой программы: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2"/>
        <w:gridCol w:w="4323"/>
      </w:tblGrid>
      <w:tr w:rsidR="00036CF9" w:rsidTr="00036CF9"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Значение индекса результативности муниципальной 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целевой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программы (R)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результативность муниципальной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целевой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программы</w:t>
            </w:r>
          </w:p>
        </w:tc>
      </w:tr>
      <w:tr w:rsidR="00036CF9" w:rsidTr="00036CF9"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spacing w:val="2"/>
                      <w:kern w:val="2"/>
                      <w:sz w:val="24"/>
                      <w:szCs w:val="24"/>
                      <w:lang w:val="en-US" w:eastAsia="hi-IN" w:bidi="hi-IN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  <m:t>пр</m:t>
                  </m:r>
                </m:sub>
              </m:sSub>
              <m:r>
                <w:rPr>
                  <w:rFonts w:ascii="Cambria Math" w:eastAsia="Arial Unicode MS" w:hAnsi="Cambria Math"/>
                  <w:spacing w:val="2"/>
                  <w:kern w:val="2"/>
                  <w:sz w:val="24"/>
                  <w:szCs w:val="24"/>
                  <w:lang w:eastAsia="hi-IN" w:bidi="hi-IN"/>
                </w:rPr>
                <m:t>)</m:t>
              </m:r>
              <m:r>
                <w:rPr>
                  <w:rFonts w:ascii="Cambria Math" w:hAnsi="Cambria Math"/>
                  <w:spacing w:val="2"/>
                  <w:sz w:val="24"/>
                  <w:szCs w:val="24"/>
                  <w:lang w:val="en-US"/>
                </w:rPr>
                <m:t>≥</m:t>
              </m:r>
            </m:oMath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95%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высокорезультативная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6CF9" w:rsidTr="00036CF9"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85% &lt; 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spacing w:val="2"/>
                      <w:kern w:val="2"/>
                      <w:sz w:val="24"/>
                      <w:szCs w:val="24"/>
                      <w:lang w:val="en-US" w:eastAsia="hi-IN" w:bidi="hi-IN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  <m:t>пр</m:t>
                  </m:r>
                </m:sub>
              </m:sSub>
              <m:r>
                <w:rPr>
                  <w:rFonts w:ascii="Cambria Math" w:eastAsia="Arial Unicode MS" w:hAnsi="Cambria Math"/>
                  <w:spacing w:val="2"/>
                  <w:kern w:val="2"/>
                  <w:sz w:val="24"/>
                  <w:szCs w:val="24"/>
                  <w:lang w:eastAsia="hi-IN" w:bidi="hi-IN"/>
                </w:rPr>
                <m:t>)</m:t>
              </m:r>
            </m:oMath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spacing w:val="2"/>
                  <w:sz w:val="24"/>
                  <w:szCs w:val="24"/>
                </w:rPr>
                <m:t>&lt;</m:t>
              </m:r>
            </m:oMath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95%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среднерезультативная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6CF9" w:rsidTr="00036CF9"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eastAsia="Arial Unicode MS" w:hAnsi="Cambria Math"/>
                      <w:spacing w:val="2"/>
                      <w:kern w:val="2"/>
                      <w:sz w:val="24"/>
                      <w:szCs w:val="24"/>
                      <w:lang w:val="en-US" w:eastAsia="hi-IN" w:bidi="hi-IN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pacing w:val="2"/>
                      <w:kern w:val="2"/>
                      <w:sz w:val="24"/>
                      <w:szCs w:val="24"/>
                      <w:lang w:eastAsia="hi-IN" w:bidi="hi-IN"/>
                    </w:rPr>
                    <m:t>пр</m:t>
                  </m:r>
                </m:sub>
              </m:sSub>
              <m:r>
                <w:rPr>
                  <w:rFonts w:ascii="Cambria Math" w:eastAsia="Arial Unicode MS" w:hAnsi="Cambria Math"/>
                  <w:spacing w:val="2"/>
                  <w:kern w:val="2"/>
                  <w:sz w:val="24"/>
                  <w:szCs w:val="24"/>
                  <w:lang w:eastAsia="hi-IN" w:bidi="hi-IN"/>
                </w:rPr>
                <m:t>)</m:t>
              </m:r>
            </m:oMath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val="en-US" w:eastAsia="ru-RU"/>
              </w:rPr>
              <w:t>≤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85%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низкорезультативная</w:t>
            </w:r>
            <w:proofErr w:type="spellEnd"/>
            <w:r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36CF9" w:rsidRDefault="00036CF9" w:rsidP="00036CF9">
      <w:pPr>
        <w:tabs>
          <w:tab w:val="left" w:pos="-41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ahoma" w:hAnsi="Times New Roman"/>
          <w:bCs/>
          <w:sz w:val="24"/>
          <w:szCs w:val="24"/>
          <w:lang w:eastAsia="ru-RU"/>
        </w:rPr>
        <w:t xml:space="preserve">7.2.4. Эффективность муниципальной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целевой</w:t>
      </w:r>
      <w:r>
        <w:rPr>
          <w:rFonts w:ascii="Times New Roman" w:eastAsia="Tahoma" w:hAnsi="Times New Roman"/>
          <w:bCs/>
          <w:sz w:val="24"/>
          <w:szCs w:val="24"/>
          <w:lang w:eastAsia="ru-RU"/>
        </w:rPr>
        <w:t xml:space="preserve"> программы</w:t>
      </w:r>
      <w:r>
        <w:rPr>
          <w:rFonts w:ascii="Times New Roman" w:eastAsia="Tahoma" w:hAnsi="Times New Roman"/>
          <w:sz w:val="24"/>
          <w:szCs w:val="24"/>
          <w:lang w:eastAsia="ru-RU"/>
        </w:rPr>
        <w:t xml:space="preserve"> –степень освоения средств бюджетов всех уровней на реализацию муниципальной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целевой</w:t>
      </w:r>
      <w:r>
        <w:rPr>
          <w:rFonts w:ascii="Times New Roman" w:eastAsia="Tahoma" w:hAnsi="Times New Roman"/>
          <w:sz w:val="24"/>
          <w:szCs w:val="24"/>
          <w:lang w:eastAsia="ru-RU"/>
        </w:rPr>
        <w:t xml:space="preserve"> программы. </w:t>
      </w:r>
    </w:p>
    <w:p w:rsidR="00036CF9" w:rsidRDefault="00036CF9" w:rsidP="00036CF9">
      <w:pPr>
        <w:tabs>
          <w:tab w:val="left" w:pos="-41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ahoma" w:hAnsi="Times New Roman"/>
          <w:sz w:val="24"/>
          <w:szCs w:val="24"/>
          <w:lang w:eastAsia="ru-RU"/>
        </w:rPr>
        <w:t>Эффективность муниципальной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целевой</w:t>
      </w:r>
      <w:r>
        <w:rPr>
          <w:rFonts w:ascii="Times New Roman" w:eastAsia="Tahoma" w:hAnsi="Times New Roman"/>
          <w:sz w:val="24"/>
          <w:szCs w:val="24"/>
          <w:lang w:eastAsia="ru-RU"/>
        </w:rPr>
        <w:t xml:space="preserve"> программы рассчитывается как отношение 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фактического значения финансовых средств бюджетов всех уровней за весь период реализации муниципальной целевой программы к плановому значению финансовых средств бюджетов всех уровней за весь период реализации муниципальной целевой программы.</w:t>
      </w:r>
    </w:p>
    <w:p w:rsidR="00036CF9" w:rsidRDefault="00036CF9" w:rsidP="00036CF9">
      <w:pPr>
        <w:tabs>
          <w:tab w:val="left" w:pos="-411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Индекс эффективности муниципальной целевой программы (Е </w:t>
      </w:r>
      <w:proofErr w:type="spellStart"/>
      <w:r>
        <w:rPr>
          <w:rFonts w:ascii="Times New Roman" w:eastAsia="Times New Roman" w:hAnsi="Times New Roman"/>
          <w:spacing w:val="2"/>
          <w:sz w:val="24"/>
          <w:szCs w:val="24"/>
          <w:vertAlign w:val="subscript"/>
          <w:lang w:eastAsia="ru-RU"/>
        </w:rPr>
        <w:t>пр</w:t>
      </w:r>
      <w:proofErr w:type="spell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) определяется по формуле: </w:t>
      </w:r>
    </w:p>
    <w:p w:rsidR="00036CF9" w:rsidRDefault="00036CF9" w:rsidP="00036CF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hAnsi="Cambria Math"/>
                <w:spacing w:val="2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pacing w:val="2"/>
                <w:sz w:val="24"/>
                <w:szCs w:val="24"/>
              </w:rPr>
              <m:t>Е</m:t>
            </m:r>
          </m:e>
          <m:sub>
            <m:r>
              <m:rPr>
                <m:sty m:val="p"/>
              </m:rPr>
              <w:rPr>
                <w:rFonts w:ascii="Cambria Math" w:hAnsi="Cambria Math"/>
                <w:spacing w:val="2"/>
                <w:sz w:val="24"/>
                <w:szCs w:val="24"/>
              </w:rPr>
              <m:t>пр</m:t>
            </m:r>
          </m:sub>
        </m:sSub>
        <m:r>
          <m:rPr>
            <m:sty m:val="p"/>
          </m:rPr>
          <w:rPr>
            <w:rFonts w:ascii="Cambria Math" w:hAnsi="Cambria Math"/>
            <w:spacing w:val="2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pacing w:val="2"/>
                <w:sz w:val="24"/>
                <w:szCs w:val="24"/>
                <w:vertAlign w:val="subscri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pacing w:val="2"/>
                <w:sz w:val="24"/>
                <w:szCs w:val="24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pacing w:val="2"/>
                <w:sz w:val="24"/>
                <w:szCs w:val="24"/>
                <w:vertAlign w:val="subscript"/>
              </w:rPr>
              <m:t>факт</m:t>
            </m:r>
          </m:num>
          <m:den>
            <m:r>
              <m:rPr>
                <m:sty m:val="p"/>
              </m:rPr>
              <w:rPr>
                <w:rFonts w:ascii="Cambria Math" w:hAnsi="Cambria Math"/>
                <w:spacing w:val="2"/>
                <w:sz w:val="24"/>
                <w:szCs w:val="24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pacing w:val="2"/>
                <w:sz w:val="24"/>
                <w:szCs w:val="24"/>
                <w:vertAlign w:val="subscript"/>
              </w:rPr>
              <m:t>план</m:t>
            </m:r>
          </m:den>
        </m:f>
        <m:r>
          <m:rPr>
            <m:sty m:val="p"/>
          </m:rPr>
          <w:rPr>
            <w:rFonts w:ascii="Cambria Math" w:hAnsi="Cambria Math"/>
            <w:spacing w:val="2"/>
            <w:sz w:val="24"/>
            <w:szCs w:val="24"/>
            <w:vertAlign w:val="subscript"/>
          </w:rPr>
          <m:t>*100%</m:t>
        </m:r>
      </m:oMath>
      <w:r>
        <w:rPr>
          <w:rFonts w:ascii="Times New Roman" w:eastAsia="Times New Roman" w:hAnsi="Times New Roman"/>
          <w:i/>
          <w:spacing w:val="2"/>
          <w:sz w:val="24"/>
          <w:szCs w:val="24"/>
          <w:lang w:eastAsia="ru-RU"/>
        </w:rPr>
        <w:t>,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где: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F</w:t>
      </w:r>
      <w:r>
        <w:rPr>
          <w:rFonts w:ascii="Times New Roman" w:eastAsia="Times New Roman" w:hAnsi="Times New Roman"/>
          <w:spacing w:val="2"/>
          <w:sz w:val="24"/>
          <w:szCs w:val="24"/>
          <w:vertAlign w:val="subscript"/>
          <w:lang w:eastAsia="ru-RU"/>
        </w:rPr>
        <w:t>факт</w:t>
      </w:r>
      <w:proofErr w:type="spell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- фактическое значение финансовых средств бюджетов всех уровней на создание результатов на отчётный период;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F</w:t>
      </w:r>
      <w:r>
        <w:rPr>
          <w:rFonts w:ascii="Times New Roman" w:eastAsia="Times New Roman" w:hAnsi="Times New Roman"/>
          <w:spacing w:val="2"/>
          <w:sz w:val="24"/>
          <w:szCs w:val="24"/>
          <w:vertAlign w:val="subscript"/>
          <w:lang w:eastAsia="ru-RU"/>
        </w:rPr>
        <w:t>план</w:t>
      </w:r>
      <w:proofErr w:type="spellEnd"/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- плановое значение финансовых средств бюджетов всех уровней на создание результатов на отчётный период.</w:t>
      </w:r>
    </w:p>
    <w:p w:rsidR="00036CF9" w:rsidRDefault="00036CF9" w:rsidP="00036C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Критерии оценки эффективности муниципальной целевой программы:</w:t>
      </w:r>
    </w:p>
    <w:tbl>
      <w:tblPr>
        <w:tblW w:w="5000" w:type="pct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4813"/>
        <w:gridCol w:w="4526"/>
      </w:tblGrid>
      <w:tr w:rsidR="00036CF9" w:rsidTr="00036CF9">
        <w:tc>
          <w:tcPr>
            <w:tcW w:w="2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Значение индекса эффективности муниципальной целевой программы (</w:t>
            </w:r>
            <w:proofErr w:type="spellStart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vertAlign w:val="subscript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Эффективность муниципальной целевой программы</w:t>
            </w:r>
          </w:p>
        </w:tc>
      </w:tr>
      <w:tr w:rsidR="00036CF9" w:rsidTr="00036CF9">
        <w:trPr>
          <w:trHeight w:val="266"/>
        </w:trPr>
        <w:tc>
          <w:tcPr>
            <w:tcW w:w="2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vertAlign w:val="subscript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 w:eastAsia="ru-RU"/>
              </w:rPr>
              <w:t>≥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95%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высокоэффективная</w:t>
            </w:r>
          </w:p>
        </w:tc>
      </w:tr>
      <w:tr w:rsidR="00036CF9" w:rsidTr="00036CF9">
        <w:trPr>
          <w:trHeight w:val="332"/>
        </w:trPr>
        <w:tc>
          <w:tcPr>
            <w:tcW w:w="2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85% 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vertAlign w:val="subscript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&lt; 95%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среднеэффективная</w:t>
            </w:r>
            <w:proofErr w:type="spellEnd"/>
          </w:p>
        </w:tc>
      </w:tr>
      <w:tr w:rsidR="00036CF9" w:rsidTr="00036CF9">
        <w:tc>
          <w:tcPr>
            <w:tcW w:w="2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vertAlign w:val="subscript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≤ 85%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CF9" w:rsidRDefault="00036C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>низкоэффективная</w:t>
            </w:r>
          </w:p>
        </w:tc>
      </w:tr>
    </w:tbl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lang w:eastAsia="ru-RU"/>
        </w:rPr>
      </w:pPr>
      <w:r>
        <w:rPr>
          <w:rFonts w:ascii="Times New Roman" w:eastAsia="Times New Roman" w:hAnsi="Times New Roman"/>
          <w:sz w:val="20"/>
          <w:lang w:eastAsia="ru-RU"/>
        </w:rPr>
        <w:t>Приложение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к  муниципальной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программе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shd w:val="clear" w:color="auto" w:fill="FEFEFA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shd w:val="clear" w:color="auto" w:fill="FEFEFA"/>
          <w:lang w:eastAsia="ru-RU"/>
        </w:rPr>
        <w:t xml:space="preserve">«Поддержка и развитие деятельности  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  <w:shd w:val="clear" w:color="auto" w:fill="FEFEFA"/>
          <w:lang w:eastAsia="ru-RU"/>
        </w:rPr>
      </w:pPr>
      <w:r>
        <w:rPr>
          <w:rFonts w:ascii="Times New Roman" w:eastAsia="Times New Roman" w:hAnsi="Times New Roman"/>
          <w:sz w:val="20"/>
          <w:szCs w:val="20"/>
          <w:shd w:val="clear" w:color="auto" w:fill="FEFEFA"/>
          <w:lang w:eastAsia="ru-RU"/>
        </w:rPr>
        <w:t xml:space="preserve">добровольной </w:t>
      </w:r>
      <w:proofErr w:type="gramStart"/>
      <w:r>
        <w:rPr>
          <w:rFonts w:ascii="Times New Roman" w:eastAsia="Times New Roman" w:hAnsi="Times New Roman"/>
          <w:sz w:val="20"/>
          <w:szCs w:val="20"/>
          <w:shd w:val="clear" w:color="auto" w:fill="FEFEFA"/>
          <w:lang w:eastAsia="ru-RU"/>
        </w:rPr>
        <w:t>народной  дружины</w:t>
      </w:r>
      <w:proofErr w:type="gramEnd"/>
      <w:r>
        <w:rPr>
          <w:rFonts w:ascii="Times New Roman" w:eastAsia="Times New Roman" w:hAnsi="Times New Roman"/>
          <w:color w:val="595651"/>
          <w:sz w:val="20"/>
          <w:szCs w:val="20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Cs/>
          <w:sz w:val="20"/>
          <w:szCs w:val="20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bCs/>
          <w:sz w:val="20"/>
          <w:szCs w:val="20"/>
          <w:shd w:val="clear" w:color="auto" w:fill="FEFEFA"/>
          <w:lang w:eastAsia="ru-RU"/>
        </w:rPr>
        <w:t>»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shd w:val="clear" w:color="auto" w:fill="FEFEFA"/>
          <w:lang w:eastAsia="ru-RU"/>
        </w:rPr>
        <w:t xml:space="preserve"> сумона Ырбан Тоджинского </w:t>
      </w:r>
      <w:proofErr w:type="gramStart"/>
      <w:r>
        <w:rPr>
          <w:rFonts w:ascii="Times New Roman" w:eastAsia="Times New Roman" w:hAnsi="Times New Roman"/>
          <w:bCs/>
          <w:sz w:val="20"/>
          <w:szCs w:val="20"/>
          <w:shd w:val="clear" w:color="auto" w:fill="FEFEFA"/>
          <w:lang w:eastAsia="ru-RU"/>
        </w:rPr>
        <w:t>кожууна</w:t>
      </w:r>
      <w:r>
        <w:rPr>
          <w:rFonts w:ascii="Times New Roman" w:eastAsia="Times New Roman" w:hAnsi="Times New Roman"/>
          <w:sz w:val="20"/>
          <w:szCs w:val="20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на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2026-2028 годы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ФИНАНСИРОВАНИЕ ОБЪЕКТОВ,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ПРЕДУСМОТРЕННЫХ МУНИЦИПАЛЬНОЙ ПРОГРАММОЙ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Поддержка и развитие </w:t>
      </w:r>
      <w:proofErr w:type="gramStart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>деятельности  добровольной</w:t>
      </w:r>
      <w:proofErr w:type="gramEnd"/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 народной  дружины</w:t>
      </w:r>
      <w:r>
        <w:rPr>
          <w:rFonts w:ascii="Times New Roman" w:eastAsia="Times New Roman" w:hAnsi="Times New Roman"/>
          <w:color w:val="595651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shd w:val="clear" w:color="auto" w:fill="FEFEFA"/>
          <w:lang w:eastAsia="ru-RU"/>
        </w:rPr>
        <w:t>» сумона Ырбан Тоджинского кожууна</w:t>
      </w:r>
      <w:r>
        <w:rPr>
          <w:rFonts w:ascii="Times New Roman" w:eastAsia="Times New Roman" w:hAnsi="Times New Roman"/>
          <w:sz w:val="28"/>
          <w:szCs w:val="28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 2026-2028 годы</w:t>
      </w: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="189" w:tblpY="133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"/>
        <w:gridCol w:w="4143"/>
        <w:gridCol w:w="1419"/>
        <w:gridCol w:w="1418"/>
        <w:gridCol w:w="1561"/>
      </w:tblGrid>
      <w:tr w:rsidR="00036CF9" w:rsidTr="00171279">
        <w:trPr>
          <w:cantSplit/>
          <w:trHeight w:val="11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ind w:firstLineChars="100" w:firstLine="240"/>
              <w:jc w:val="both"/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2026год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ind w:firstLineChars="100" w:firstLine="240"/>
              <w:jc w:val="both"/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(</w:t>
            </w:r>
            <w:proofErr w:type="spellStart"/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тыс.руб</w:t>
            </w:r>
            <w:proofErr w:type="spellEnd"/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2027 год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(</w:t>
            </w:r>
            <w:proofErr w:type="spellStart"/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тыс.руб</w:t>
            </w:r>
            <w:proofErr w:type="spellEnd"/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2028 год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(</w:t>
            </w:r>
            <w:proofErr w:type="spellStart"/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тыс.руб</w:t>
            </w:r>
            <w:proofErr w:type="spellEnd"/>
            <w:r>
              <w:rPr>
                <w:rFonts w:ascii="Times New Roman" w:eastAsia="TimesNewRomanPS-BoldMT" w:hAnsi="Times New Roman"/>
                <w:color w:val="000000"/>
                <w:sz w:val="24"/>
                <w:szCs w:val="24"/>
                <w:lang w:eastAsia="zh-CN" w:bidi="ar"/>
              </w:rPr>
              <w:t>)</w:t>
            </w:r>
          </w:p>
        </w:tc>
      </w:tr>
      <w:tr w:rsidR="00036CF9" w:rsidTr="00171279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Проведение целевых инструктажей с сотрудниками полиции и членами ДНД, привлекаемых к обеспечению общественного порядка.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</w:tr>
      <w:tr w:rsidR="00036CF9" w:rsidTr="00171279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обеспечение деятельности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</w:tr>
      <w:tr w:rsidR="00036CF9" w:rsidTr="00171279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Материальное поощрение членов добровольной народной дружины «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Ырбанская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</w:tr>
      <w:tr w:rsidR="00036CF9" w:rsidTr="00171279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Мероприятия по организации  и обеспечению деятельности добровольной народной дружины, экипировка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</w:tr>
      <w:tr w:rsidR="00036CF9" w:rsidTr="00171279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Осуществление взаимодействия ДНД и правоохранительных органов в профилактике безнадзорности несовершеннолетних и иных действиях по решению уполномоченных должностных лиц органов местного самоуправления или правоохранительных органов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1,0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1,0</w:t>
            </w:r>
          </w:p>
        </w:tc>
      </w:tr>
      <w:tr w:rsidR="00036CF9" w:rsidTr="00171279">
        <w:trPr>
          <w:cantSplit/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неотложных аварийно-спасательных и карантинных мероприятий с привлечением  ДНД в случаях стихийных бедствий, катастроф, эпидемий , эпизоотий и иных чрезвычайных ситуаций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При возникновении ситуации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При возникновении ситуации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</w:rPr>
              <w:t>При возникновении ситуации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</w:tbl>
    <w:p w:rsidR="00036CF9" w:rsidRDefault="00036CF9" w:rsidP="00036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GoBack"/>
      <w:bookmarkEnd w:id="2"/>
    </w:p>
    <w:p w:rsidR="00036CF9" w:rsidRDefault="00036CF9" w:rsidP="00036C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</w:t>
      </w:r>
    </w:p>
    <w:p w:rsidR="00036CF9" w:rsidRDefault="00036CF9" w:rsidP="00036C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ПЕРЕЧЕНЬ</w:t>
      </w:r>
    </w:p>
    <w:p w:rsidR="00036CF9" w:rsidRDefault="00036CF9" w:rsidP="00036C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МЕРОПРИЯТИЙ ПО РЕАЛИЗАЦИИ МУНИЦИПАЛЬНОЙ ПРОГРАММЫ</w:t>
      </w:r>
    </w:p>
    <w:p w:rsidR="00036CF9" w:rsidRDefault="00036CF9" w:rsidP="00036C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муниципальной целевой программы</w:t>
      </w:r>
    </w:p>
    <w:p w:rsidR="00036CF9" w:rsidRDefault="00036CF9" w:rsidP="00036C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EFEFA"/>
          <w:lang w:eastAsia="ru-RU"/>
        </w:rPr>
        <w:t xml:space="preserve">Поддержка и развитие </w:t>
      </w:r>
      <w:proofErr w:type="gramStart"/>
      <w:r>
        <w:rPr>
          <w:rFonts w:ascii="Times New Roman" w:eastAsia="Times New Roman" w:hAnsi="Times New Roman"/>
          <w:sz w:val="24"/>
          <w:szCs w:val="24"/>
          <w:shd w:val="clear" w:color="auto" w:fill="FEFEFA"/>
          <w:lang w:eastAsia="ru-RU"/>
        </w:rPr>
        <w:t>деятельности  добровольной</w:t>
      </w:r>
      <w:proofErr w:type="gramEnd"/>
      <w:r>
        <w:rPr>
          <w:rFonts w:ascii="Times New Roman" w:eastAsia="Times New Roman" w:hAnsi="Times New Roman"/>
          <w:sz w:val="24"/>
          <w:szCs w:val="24"/>
          <w:shd w:val="clear" w:color="auto" w:fill="FEFEFA"/>
          <w:lang w:eastAsia="ru-RU"/>
        </w:rPr>
        <w:t xml:space="preserve"> народной  дружины</w:t>
      </w:r>
      <w:r>
        <w:rPr>
          <w:rFonts w:ascii="Times New Roman" w:eastAsia="Times New Roman" w:hAnsi="Times New Roman"/>
          <w:color w:val="595651"/>
          <w:sz w:val="24"/>
          <w:szCs w:val="24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shd w:val="clear" w:color="auto" w:fill="FEFEFA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shd w:val="clear" w:color="auto" w:fill="FEFEFA"/>
          <w:lang w:eastAsia="ru-RU"/>
        </w:rPr>
        <w:t>Ырбанская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shd w:val="clear" w:color="auto" w:fill="FEFEFA"/>
          <w:lang w:eastAsia="ru-RU"/>
        </w:rPr>
        <w:t>» сумона Ырбан Тоджинского кожууна</w:t>
      </w:r>
      <w:r>
        <w:rPr>
          <w:rFonts w:ascii="Times New Roman" w:eastAsia="Times New Roman" w:hAnsi="Times New Roman"/>
          <w:sz w:val="24"/>
          <w:szCs w:val="24"/>
          <w:shd w:val="clear" w:color="auto" w:fill="FEFEFA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 2026-2028 годы</w:t>
      </w:r>
    </w:p>
    <w:tbl>
      <w:tblPr>
        <w:tblW w:w="11490" w:type="dxa"/>
        <w:tblInd w:w="-15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2370"/>
        <w:gridCol w:w="1984"/>
        <w:gridCol w:w="1775"/>
        <w:gridCol w:w="1344"/>
        <w:gridCol w:w="924"/>
        <w:gridCol w:w="850"/>
        <w:gridCol w:w="1349"/>
      </w:tblGrid>
      <w:tr w:rsidR="00036CF9" w:rsidTr="00036CF9">
        <w:trPr>
          <w:cantSplit/>
          <w:trHeight w:val="730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N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п/п  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Исполнители     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исполнения 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финансирования.       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2026г.</w:t>
            </w:r>
          </w:p>
          <w:p w:rsidR="00036CF9" w:rsidRDefault="0003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CF9" w:rsidRDefault="0003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2027г. Тыс.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2028г</w:t>
            </w:r>
          </w:p>
          <w:p w:rsidR="00036CF9" w:rsidRDefault="0003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036CF9" w:rsidTr="00036CF9">
        <w:trPr>
          <w:cantSplit/>
          <w:trHeight w:val="1139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Проведение целевых инструктажей с сотрудниками полиции и членами ДНД, привлекаемых к обеспечению общественного порядка.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Ырбан</w:t>
            </w:r>
          </w:p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ind w:left="-6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36CF9" w:rsidTr="00036CF9">
        <w:trPr>
          <w:cantSplit/>
          <w:trHeight w:val="1139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обеспечение деятельности</w:t>
            </w:r>
          </w:p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ДНД.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Ырбан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ind w:left="-6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36CF9" w:rsidTr="00036CF9">
        <w:trPr>
          <w:cantSplit/>
          <w:trHeight w:val="1139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Материальное поощрение членов добровольной народной дружины «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Ырбанская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Ырбан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ind w:left="-6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конце года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036CF9" w:rsidTr="00036CF9">
        <w:trPr>
          <w:cantSplit/>
          <w:trHeight w:val="1139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Мероприятия по организации  и обеспечению деятельности добровольной народной дружины, экипировка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Ырбан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ind w:left="-6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36CF9" w:rsidTr="00036CF9">
        <w:trPr>
          <w:cantSplit/>
          <w:trHeight w:val="1139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Осуществление взаимодействия ДНД и правоохранительных органов в профилактике безнадзорности несовершеннолетних и иных действиях по решению уполномоченных должностных лиц органов местного самоуправления или правоохранительных органов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Ырбан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ind w:left="-6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 сельского поселения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36CF9" w:rsidTr="00036CF9">
        <w:trPr>
          <w:cantSplit/>
          <w:trHeight w:val="1139"/>
        </w:trPr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F9" w:rsidRDefault="00036CF9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неотложных аварийно-спасательных и карантинных мероприятий с привлечением  ДНД в случаях стихийных бедствий, катастроф, эпидемий , эпизоотий и иных чрезвычайных ситуаций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Ырбан</w:t>
            </w:r>
          </w:p>
        </w:tc>
        <w:tc>
          <w:tcPr>
            <w:tcW w:w="1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CF9" w:rsidRDefault="00036CF9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 возникновении ситуации</w:t>
            </w:r>
          </w:p>
          <w:p w:rsidR="00036CF9" w:rsidRDefault="00036CF9">
            <w:pPr>
              <w:spacing w:after="0" w:line="240" w:lineRule="auto"/>
              <w:ind w:left="-6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36CF9" w:rsidTr="00036CF9">
        <w:trPr>
          <w:cantSplit/>
          <w:trHeight w:val="534"/>
        </w:trPr>
        <w:tc>
          <w:tcPr>
            <w:tcW w:w="8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6CF9" w:rsidTr="00036CF9">
        <w:trPr>
          <w:cantSplit/>
          <w:trHeight w:val="542"/>
        </w:trPr>
        <w:tc>
          <w:tcPr>
            <w:tcW w:w="83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6CF9" w:rsidRDefault="00036C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</w:tr>
    </w:tbl>
    <w:p w:rsidR="00036CF9" w:rsidRDefault="00036CF9" w:rsidP="00036CF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EFEFA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CF9" w:rsidRDefault="00036CF9" w:rsidP="00036C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6CF9" w:rsidRDefault="00036CF9" w:rsidP="00036CF9"/>
    <w:p w:rsidR="00036CF9" w:rsidRDefault="00036CF9" w:rsidP="00036CF9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8B"/>
    <w:rsid w:val="00036CF9"/>
    <w:rsid w:val="00171279"/>
    <w:rsid w:val="00533E8B"/>
    <w:rsid w:val="00A21893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F007"/>
  <w15:chartTrackingRefBased/>
  <w15:docId w15:val="{37F35481-996A-4670-BD91-566705D0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CF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3218</Words>
  <Characters>18345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2025-11-10T03:41:00Z</dcterms:created>
  <dcterms:modified xsi:type="dcterms:W3CDTF">2025-11-10T03:43:00Z</dcterms:modified>
</cp:coreProperties>
</file>