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1"/>
        <w:gridCol w:w="1623"/>
        <w:gridCol w:w="4266"/>
      </w:tblGrid>
      <w:tr w:rsidR="00EA7ADB" w:rsidTr="00EA7ADB">
        <w:tc>
          <w:tcPr>
            <w:tcW w:w="4039" w:type="dxa"/>
          </w:tcPr>
          <w:p w:rsidR="00EA7ADB" w:rsidRDefault="00EA7ADB" w:rsidP="00B44D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A7ADB" w:rsidRDefault="00EA7ADB" w:rsidP="00B44D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ТЫВА  РЕСПУБЛИКАНЫН</w:t>
            </w:r>
            <w:proofErr w:type="gramEnd"/>
          </w:p>
          <w:p w:rsidR="00EA7ADB" w:rsidRDefault="00EA7ADB" w:rsidP="00B44D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ТОЖУ  КОЖУУН</w:t>
            </w:r>
            <w:proofErr w:type="gramEnd"/>
          </w:p>
          <w:p w:rsidR="00EA7ADB" w:rsidRDefault="00EA7ADB" w:rsidP="00B44D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ЫРБАН СУМУ</w:t>
            </w:r>
          </w:p>
          <w:p w:rsidR="00EA7ADB" w:rsidRDefault="00EA7ADB" w:rsidP="00B44D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ЧАГЫРГАЗЫ</w:t>
            </w:r>
          </w:p>
          <w:p w:rsidR="00EA7ADB" w:rsidRDefault="00EA7ADB" w:rsidP="00B44D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7ADB" w:rsidRDefault="00EA7ADB" w:rsidP="00B44D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lassic Russian" w:eastAsia="Times New Roman" w:hAnsi="Classic Russian"/>
                <w:sz w:val="24"/>
                <w:szCs w:val="24"/>
              </w:rPr>
            </w:pPr>
          </w:p>
        </w:tc>
        <w:tc>
          <w:tcPr>
            <w:tcW w:w="1623" w:type="dxa"/>
            <w:hideMark/>
          </w:tcPr>
          <w:p w:rsidR="00EA7ADB" w:rsidRDefault="00EA7ADB" w:rsidP="00B44D7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cademy" w:eastAsia="Times New Roman" w:hAnsi="Academy"/>
                <w:sz w:val="24"/>
                <w:szCs w:val="24"/>
              </w:rPr>
            </w:pPr>
            <w:r>
              <w:rPr>
                <w:rFonts w:ascii="Academy" w:eastAsia="Times New Roman" w:hAnsi="Academy"/>
                <w:sz w:val="24"/>
                <w:szCs w:val="24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5" o:title=""/>
                </v:shape>
                <o:OLEObject Type="Embed" ProgID="PBrush" ShapeID="_x0000_i1025" DrawAspect="Content" ObjectID="_1823844307" r:id="rId6"/>
              </w:object>
            </w:r>
          </w:p>
        </w:tc>
        <w:tc>
          <w:tcPr>
            <w:tcW w:w="4265" w:type="dxa"/>
          </w:tcPr>
          <w:p w:rsidR="00EA7ADB" w:rsidRDefault="00EA7ADB" w:rsidP="00B44D7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cademy" w:eastAsia="Times New Roman" w:hAnsi="Academy"/>
                <w:sz w:val="24"/>
                <w:szCs w:val="24"/>
              </w:rPr>
            </w:pPr>
          </w:p>
          <w:p w:rsidR="00EA7ADB" w:rsidRDefault="00EA7ADB" w:rsidP="00B44D7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РЕСПУБЛИКА  ТЫВА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ТОДЖИНСКИЙ КОЖУУН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АДМИНИСТРАЦИЯ </w:t>
            </w:r>
          </w:p>
          <w:p w:rsidR="00EA7ADB" w:rsidRDefault="00EA7ADB" w:rsidP="00B44D7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СУМОНА ЫРБАН</w:t>
            </w:r>
          </w:p>
          <w:p w:rsidR="00EA7ADB" w:rsidRDefault="00EA7ADB" w:rsidP="00B44D7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668541, с. Ырбан</w:t>
            </w:r>
          </w:p>
          <w:p w:rsidR="00EA7ADB" w:rsidRDefault="00EA7ADB" w:rsidP="00B44D7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Ул. Промышленная 11</w:t>
            </w:r>
          </w:p>
          <w:p w:rsidR="00EA7ADB" w:rsidRDefault="00EA7ADB" w:rsidP="00B44D7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cademy" w:eastAsia="Times New Roman" w:hAnsi="Academy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Email</w:t>
            </w:r>
            <w:r>
              <w:rPr>
                <w:rFonts w:ascii="Times New Roman" w:eastAsia="Times New Roman" w:hAnsi="Times New Roman"/>
                <w:sz w:val="16"/>
                <w:szCs w:val="24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yrban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4"/>
              </w:rPr>
              <w:t>123@</w:t>
            </w:r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16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4"/>
              </w:rPr>
              <w:t xml:space="preserve">                                     </w:t>
            </w:r>
          </w:p>
        </w:tc>
      </w:tr>
    </w:tbl>
    <w:p w:rsidR="00EA7ADB" w:rsidRDefault="00EA7ADB" w:rsidP="00EA7A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ПОСТАНОВЛЕНИЕ</w:t>
      </w:r>
    </w:p>
    <w:p w:rsidR="00EA7ADB" w:rsidRDefault="00EA7ADB" w:rsidP="00EA7A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A7ADB" w:rsidRDefault="00EA7ADB" w:rsidP="00EA7AD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Администрации сельского поселения сумона Ырбан </w:t>
      </w:r>
    </w:p>
    <w:p w:rsidR="00EA7ADB" w:rsidRDefault="00EA7ADB" w:rsidP="00EA7AD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Тоджинского кожууна Республики Тыва</w:t>
      </w:r>
    </w:p>
    <w:p w:rsidR="00EA7ADB" w:rsidRDefault="00EA7ADB" w:rsidP="00EA7AD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от 29 </w:t>
      </w:r>
      <w:proofErr w:type="gramStart"/>
      <w:r>
        <w:rPr>
          <w:rFonts w:ascii="Times New Roman" w:eastAsia="Times New Roman" w:hAnsi="Times New Roman"/>
          <w:b/>
          <w:sz w:val="28"/>
          <w:szCs w:val="28"/>
        </w:rPr>
        <w:t>октября  2025</w:t>
      </w:r>
      <w:proofErr w:type="gramEnd"/>
      <w:r>
        <w:rPr>
          <w:rFonts w:ascii="Times New Roman" w:eastAsia="Times New Roman" w:hAnsi="Times New Roman"/>
          <w:b/>
          <w:sz w:val="28"/>
          <w:szCs w:val="28"/>
        </w:rPr>
        <w:t xml:space="preserve"> г. №_37__ </w:t>
      </w:r>
    </w:p>
    <w:p w:rsidR="00EA7ADB" w:rsidRDefault="00EA7ADB" w:rsidP="00EA7AD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A7ADB" w:rsidRDefault="00EA7ADB" w:rsidP="00EA7AD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Об утверждении основных направлений</w:t>
      </w:r>
      <w:r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бюджетной и налоговой политики</w:t>
      </w:r>
      <w:r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сельского поселения с. Ырбан</w:t>
      </w:r>
      <w:r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 2026год и на плановый период 2027 и 2028 годов</w:t>
      </w:r>
    </w:p>
    <w:p w:rsidR="00EA7ADB" w:rsidRDefault="00EA7ADB" w:rsidP="00EA7ADB">
      <w:pPr>
        <w:spacing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/>
        <w:t>В целях разработки проекта бюджета сельского поселения</w:t>
      </w:r>
      <w:r>
        <w:rPr>
          <w:rFonts w:ascii="Times New Roman" w:hAnsi="Times New Roman"/>
          <w:sz w:val="28"/>
          <w:szCs w:val="28"/>
          <w:lang w:eastAsia="ru-RU"/>
        </w:rPr>
        <w:br/>
        <w:t>на 2026 год и плановый период 2027-2028 годы, в соответствии с требованиями пункта 2 статьи 172 Бюджетного кодексом РФ,  Положением о бюджетном процессе в сельском поселении сумона Ырбан, утвержденного решением Хурала представителей СПС Ырбан от 30.12.2019г. № 16, Администрация  сельского поселения сумона Ырбан</w:t>
      </w:r>
      <w:r>
        <w:rPr>
          <w:rFonts w:ascii="Times New Roman" w:hAnsi="Times New Roman"/>
          <w:sz w:val="28"/>
          <w:szCs w:val="28"/>
          <w:lang w:eastAsia="ru-RU"/>
        </w:rPr>
        <w:br/>
        <w:t>ПОСТАНОВЛЯЕТ:</w:t>
      </w:r>
      <w:r>
        <w:rPr>
          <w:rFonts w:ascii="Times New Roman" w:hAnsi="Times New Roman"/>
          <w:sz w:val="28"/>
          <w:szCs w:val="28"/>
          <w:lang w:eastAsia="ru-RU"/>
        </w:rPr>
        <w:br/>
        <w:t>1. Утвердить Основные направления бюджетной и налоговой политики сельского поселения на 2026 год и на плановый период 2027 и 2028 годов.</w:t>
      </w:r>
      <w:r>
        <w:rPr>
          <w:rFonts w:ascii="Times New Roman" w:hAnsi="Times New Roman"/>
          <w:sz w:val="28"/>
          <w:szCs w:val="28"/>
          <w:lang w:eastAsia="ru-RU"/>
        </w:rPr>
        <w:br/>
        <w:t>2. Администрации сельского поселения при разработке проекта бюджета на 2026 год и плановый период 2027 и 2028 годов обеспечить соблюдение Основных направлений бюджетной и налоговой политики сельского поселения сумона Ырбан.</w:t>
      </w:r>
      <w:r>
        <w:rPr>
          <w:rFonts w:ascii="Times New Roman" w:hAnsi="Times New Roman"/>
          <w:sz w:val="28"/>
          <w:szCs w:val="28"/>
          <w:lang w:eastAsia="ru-RU"/>
        </w:rPr>
        <w:br/>
        <w:t>3. Контроль за исполнением настоящего постановления оставляю за собой.</w:t>
      </w:r>
      <w:r>
        <w:rPr>
          <w:rFonts w:ascii="Times New Roman" w:hAnsi="Times New Roman"/>
          <w:sz w:val="28"/>
          <w:szCs w:val="28"/>
          <w:lang w:eastAsia="ru-RU"/>
        </w:rPr>
        <w:br/>
      </w:r>
    </w:p>
    <w:p w:rsidR="00EA7ADB" w:rsidRDefault="00EA7ADB" w:rsidP="00EA7ADB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A7ADB" w:rsidRDefault="00EA7ADB" w:rsidP="00EA7ADB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  <w:lang w:eastAsia="ru-RU"/>
        </w:rPr>
        <w:t xml:space="preserve">редседатель администрации                         И. Н. Радионов                        </w:t>
      </w:r>
    </w:p>
    <w:p w:rsidR="00EA7ADB" w:rsidRDefault="00EA7ADB" w:rsidP="00EA7ADB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A7ADB" w:rsidRDefault="00EA7ADB" w:rsidP="00EA7ADB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A7ADB" w:rsidRDefault="00EA7ADB" w:rsidP="00EA7ADB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A7ADB" w:rsidRDefault="00EA7ADB" w:rsidP="00EA7ADB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rPr>
          <w:rFonts w:ascii="Times New Roman" w:hAnsi="Times New Roman"/>
          <w:lang w:eastAsia="ru-RU"/>
        </w:rPr>
      </w:pPr>
    </w:p>
    <w:p w:rsidR="00EA7ADB" w:rsidRDefault="00EA7ADB" w:rsidP="00EA7ADB">
      <w:pPr>
        <w:spacing w:after="150" w:line="240" w:lineRule="auto"/>
        <w:jc w:val="right"/>
        <w:rPr>
          <w:rFonts w:ascii="Times New Roman" w:hAnsi="Times New Roman"/>
          <w:lang w:eastAsia="ru-RU"/>
        </w:rPr>
      </w:pPr>
    </w:p>
    <w:p w:rsidR="00EA7ADB" w:rsidRDefault="00EA7ADB" w:rsidP="00EA7ADB">
      <w:pPr>
        <w:spacing w:after="150" w:line="240" w:lineRule="auto"/>
        <w:jc w:val="right"/>
        <w:rPr>
          <w:rFonts w:ascii="Times New Roman" w:hAnsi="Times New Roman"/>
          <w:lang w:eastAsia="ru-RU"/>
        </w:rPr>
      </w:pPr>
    </w:p>
    <w:p w:rsidR="00EA7ADB" w:rsidRDefault="00EA7ADB" w:rsidP="00EA7ADB">
      <w:pPr>
        <w:spacing w:after="150" w:line="240" w:lineRule="auto"/>
        <w:jc w:val="right"/>
        <w:rPr>
          <w:rFonts w:ascii="Times New Roman" w:hAnsi="Times New Roman"/>
          <w:lang w:eastAsia="ru-RU"/>
        </w:rPr>
      </w:pPr>
    </w:p>
    <w:p w:rsidR="00EA7ADB" w:rsidRDefault="00EA7ADB" w:rsidP="00EA7ADB">
      <w:pPr>
        <w:spacing w:after="150" w:line="240" w:lineRule="auto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Утверждено</w:t>
      </w:r>
      <w:r>
        <w:rPr>
          <w:rFonts w:ascii="Times New Roman" w:hAnsi="Times New Roman"/>
          <w:lang w:eastAsia="ru-RU"/>
        </w:rPr>
        <w:br/>
        <w:t>Постановлением Администрации</w:t>
      </w:r>
    </w:p>
    <w:p w:rsidR="00EA7ADB" w:rsidRDefault="00EA7ADB" w:rsidP="00EA7ADB">
      <w:pPr>
        <w:spacing w:after="150" w:line="240" w:lineRule="auto"/>
        <w:jc w:val="right"/>
        <w:rPr>
          <w:rFonts w:ascii="Arial" w:hAnsi="Arial" w:cs="Arial"/>
          <w:sz w:val="21"/>
          <w:szCs w:val="21"/>
          <w:lang w:eastAsia="ru-RU"/>
        </w:rPr>
      </w:pPr>
      <w:r>
        <w:rPr>
          <w:rFonts w:ascii="Times New Roman" w:hAnsi="Times New Roman"/>
          <w:lang w:eastAsia="ru-RU"/>
        </w:rPr>
        <w:t>От 29.10.2025</w:t>
      </w:r>
      <w:proofErr w:type="gramStart"/>
      <w:r>
        <w:rPr>
          <w:rFonts w:ascii="Times New Roman" w:hAnsi="Times New Roman"/>
          <w:lang w:eastAsia="ru-RU"/>
        </w:rPr>
        <w:t>г  .</w:t>
      </w:r>
      <w:proofErr w:type="gramEnd"/>
      <w:r>
        <w:rPr>
          <w:rFonts w:ascii="Times New Roman" w:hAnsi="Times New Roman"/>
          <w:lang w:eastAsia="ru-RU"/>
        </w:rPr>
        <w:t xml:space="preserve"> № 37</w:t>
      </w:r>
      <w:r>
        <w:rPr>
          <w:rFonts w:ascii="Arial" w:hAnsi="Arial" w:cs="Arial"/>
          <w:sz w:val="21"/>
          <w:szCs w:val="21"/>
          <w:lang w:eastAsia="ru-RU"/>
        </w:rPr>
        <w:br/>
      </w:r>
    </w:p>
    <w:p w:rsidR="00EA7ADB" w:rsidRDefault="00EA7ADB" w:rsidP="00EA7ADB">
      <w:pPr>
        <w:spacing w:after="15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 Основные направления бюджетной и налоговой </w:t>
      </w:r>
      <w:proofErr w:type="gramStart"/>
      <w:r>
        <w:rPr>
          <w:rFonts w:ascii="Times New Roman" w:hAnsi="Times New Roman"/>
          <w:b/>
          <w:bCs/>
          <w:sz w:val="28"/>
          <w:szCs w:val="28"/>
          <w:lang w:eastAsia="ru-RU"/>
        </w:rPr>
        <w:t>политики  сельского</w:t>
      </w:r>
      <w:proofErr w:type="gramEnd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поселения сумона Ырбан на 2026 год и плановый период 2027 и 2028годы</w:t>
      </w:r>
    </w:p>
    <w:p w:rsidR="00EA7ADB" w:rsidRDefault="00EA7ADB" w:rsidP="00EA7ADB">
      <w:pPr>
        <w:spacing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Основные направления бюджетной и налоговой политики сельского поселения на 2026 и плановый период 2027 и 2028 годов (далее – основные направления) разработаны в соответствии с требованиями Бюджетного кодекса Российской Федерации и Положением о бюджетном процессе в сельском поселении с. Ырбан.          .</w:t>
      </w:r>
      <w:r>
        <w:rPr>
          <w:rFonts w:ascii="Times New Roman" w:hAnsi="Times New Roman"/>
          <w:sz w:val="28"/>
          <w:szCs w:val="28"/>
          <w:lang w:eastAsia="ru-RU"/>
        </w:rPr>
        <w:br/>
        <w:t>Основные направления бюджетной и налоговой политики являются неотъемлемым элементом процедуры подготовки проекта бюджета поселения на очередной 2026 финансовый год и на период 2027-2028 годы. При подготовке учитывались положения следующих документов: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- Основные направления бюджетной и налоговой политики Республики Тыва на 2026 год и на плановый период 2027-2028годы; </w:t>
      </w:r>
      <w:r>
        <w:rPr>
          <w:rFonts w:ascii="Times New Roman" w:hAnsi="Times New Roman"/>
          <w:sz w:val="28"/>
          <w:szCs w:val="28"/>
          <w:lang w:eastAsia="ru-RU"/>
        </w:rPr>
        <w:br/>
        <w:t>- Основные направления бюджетной и налоговой политики муниципального района Тоджинский на 2026 год и плановый период 2027 и 2028 годов.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- Основные направления бюджетной и налоговой политики сельского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по-селения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на 2026 год и плановый период 2027 и 2028 годов.</w:t>
      </w:r>
      <w:r>
        <w:rPr>
          <w:rFonts w:ascii="Times New Roman" w:hAnsi="Times New Roman"/>
          <w:sz w:val="28"/>
          <w:szCs w:val="28"/>
          <w:lang w:eastAsia="ru-RU"/>
        </w:rPr>
        <w:br/>
        <w:t>Основные направления бюджетной и налоговой политики сельского поселения являются основой для формирования бюджета на 2026 и плановый период 2027 и 2028 годов, повышения качества бюджетного процесса, обеспечения рационального и эффективного использования бюджетных средств и дальнейшего совершенствования межбюджетных отношений.</w:t>
      </w:r>
    </w:p>
    <w:p w:rsidR="00EA7ADB" w:rsidRDefault="00EA7ADB" w:rsidP="00EA7ADB">
      <w:pPr>
        <w:spacing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Итоги бюджетной и налоговой политики 2025 года. </w:t>
      </w:r>
    </w:p>
    <w:p w:rsidR="00EA7ADB" w:rsidRDefault="00EA7ADB" w:rsidP="00EA7ADB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2025 году бюджетная и налоговая политика поселения проводилась в соответствии с ключевыми приоритетами, определенными в Основных направлениях бюджетной и налоговой политики поселения.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Доходы бюджета сельского поселения за 9 месяцев 2025  года составили </w:t>
      </w:r>
      <w:r>
        <w:rPr>
          <w:rFonts w:ascii="Times New Roman" w:hAnsi="Times New Roman"/>
          <w:bCs/>
          <w:sz w:val="28"/>
          <w:szCs w:val="28"/>
        </w:rPr>
        <w:t>3698965</w:t>
      </w:r>
      <w:r>
        <w:rPr>
          <w:rFonts w:ascii="Times New Roman" w:hAnsi="Times New Roman"/>
          <w:sz w:val="28"/>
          <w:szCs w:val="28"/>
          <w:lang w:eastAsia="ru-RU"/>
        </w:rPr>
        <w:t xml:space="preserve">тыс. руб.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или 79%.</w:t>
      </w:r>
    </w:p>
    <w:p w:rsidR="00EA7ADB" w:rsidRDefault="00EA7ADB" w:rsidP="00EA7ADB">
      <w:pPr>
        <w:spacing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Собственные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доходы  поступили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в общей сумме 298648,39 что составило 68%.</w:t>
      </w:r>
    </w:p>
    <w:p w:rsidR="00EA7ADB" w:rsidRDefault="00EA7ADB" w:rsidP="00EA7ADB">
      <w:pPr>
        <w:spacing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Налоги на имущество составили 79808 или 60%.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 Перераспределение налоговых доходов привело к значительному ухудшению финансового положения поселения, так как основная часть собственных доходов поселений (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зем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. налог физ. лиц 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имущ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 налог) поступает в конце четвертого квартала, в течение 11 месяцев необходимо прожить в основном на дотацию.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Но несмотря на это органы местного самоуправления поселения продолжают проводить разъяснительную работу среди населения с целью государственной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регистрации недвижимости и земельных участков, по привлечению граждан к уплате начисленных платежей.</w:t>
      </w:r>
    </w:p>
    <w:p w:rsidR="00EA7ADB" w:rsidRDefault="00EA7ADB" w:rsidP="00EA7ADB">
      <w:pPr>
        <w:spacing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Среди положительных итогов бюджетной и налоговой политики сельского поселения необходимо отметить следующее:</w:t>
      </w:r>
      <w:r>
        <w:rPr>
          <w:rFonts w:ascii="Times New Roman" w:hAnsi="Times New Roman"/>
          <w:sz w:val="28"/>
          <w:szCs w:val="28"/>
          <w:lang w:eastAsia="ru-RU"/>
        </w:rPr>
        <w:br/>
        <w:t>- проводятся мероприятия по повышению собираемости налогов на территории поселения. На сходах населения проводилась разъяснительная работа о важности поступления налогов для бюджета поселения, о необходимости погашения задолженности по налогам. </w:t>
      </w:r>
      <w:r>
        <w:rPr>
          <w:rFonts w:ascii="Times New Roman" w:hAnsi="Times New Roman"/>
          <w:sz w:val="28"/>
          <w:szCs w:val="28"/>
          <w:lang w:eastAsia="ru-RU"/>
        </w:rPr>
        <w:br/>
        <w:t>- проводится работа по идентификации правообладателей земельных участков и предоставлению данных сведений налоговым органам </w:t>
      </w:r>
      <w:r>
        <w:rPr>
          <w:rFonts w:ascii="Times New Roman" w:hAnsi="Times New Roman"/>
          <w:sz w:val="28"/>
          <w:szCs w:val="28"/>
          <w:lang w:eastAsia="ru-RU"/>
        </w:rPr>
        <w:br/>
        <w:t>- проводится работа по выявлению объектов недвижимости, не зарегистрированных в органах осуществляющих технический учет и государственную регистрацию прав на недвижимость. В течении 2025 года администрацией поселения неоднократно были обследованы не прошедшие гос. регистрацию дома, проведена разъяснительная работа с хозяевами данных домовладений. 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-ведется совместная работа с налоговыми органами. Налоговой инспекцией  в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Тоджинском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районе поселению предоставляются сведения о юридических лицах и физических лицах, имеющих задолженность по  налогам.</w:t>
      </w:r>
      <w:r>
        <w:rPr>
          <w:rFonts w:ascii="Times New Roman" w:hAnsi="Times New Roman"/>
          <w:sz w:val="28"/>
          <w:szCs w:val="28"/>
          <w:lang w:eastAsia="ru-RU"/>
        </w:rPr>
        <w:br/>
        <w:t>Несмотря на меры, принимаемые органами местного самоуправления поселения в области бюджетной и налоговой политики, остаются нерешенными следующие проблемы:</w:t>
      </w:r>
      <w:r>
        <w:rPr>
          <w:rFonts w:ascii="Times New Roman" w:hAnsi="Times New Roman"/>
          <w:sz w:val="28"/>
          <w:szCs w:val="28"/>
          <w:lang w:eastAsia="ru-RU"/>
        </w:rPr>
        <w:br/>
        <w:t>- неполнота сведений о владельцах и правообладателях земельных участков негативно отражаются на начислении и поступлении земельного налога в местный бюджет.</w:t>
      </w:r>
    </w:p>
    <w:p w:rsidR="00EA7ADB" w:rsidRDefault="00EA7ADB" w:rsidP="00EA7ADB">
      <w:pPr>
        <w:spacing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/>
        <w:t>II. Основные направления налоговой политики </w:t>
      </w:r>
      <w:r>
        <w:rPr>
          <w:rFonts w:ascii="Times New Roman" w:hAnsi="Times New Roman"/>
          <w:sz w:val="28"/>
          <w:szCs w:val="28"/>
          <w:lang w:eastAsia="ru-RU"/>
        </w:rPr>
        <w:br/>
        <w:t>В соответствии со статьей 61 Бюджетного кодекса РФ в бюджет поселения зачисляются следующие налоговые поступления:</w:t>
      </w:r>
      <w:r>
        <w:rPr>
          <w:rFonts w:ascii="Times New Roman" w:hAnsi="Times New Roman"/>
          <w:sz w:val="28"/>
          <w:szCs w:val="28"/>
          <w:lang w:eastAsia="ru-RU"/>
        </w:rPr>
        <w:br/>
        <w:t>1. от федеральных налогов и сборов</w:t>
      </w:r>
      <w:r>
        <w:rPr>
          <w:rFonts w:ascii="Times New Roman" w:hAnsi="Times New Roman"/>
          <w:sz w:val="28"/>
          <w:szCs w:val="28"/>
          <w:lang w:eastAsia="ru-RU"/>
        </w:rPr>
        <w:br/>
        <w:t>• налог на доходы физических лиц – по нормативу 2%,</w:t>
      </w:r>
      <w:r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br/>
        <w:t>2. от местных налогов, устанавливаемых представительным органам поселения</w:t>
      </w:r>
      <w:r>
        <w:rPr>
          <w:rFonts w:ascii="Times New Roman" w:hAnsi="Times New Roman"/>
          <w:sz w:val="28"/>
          <w:szCs w:val="28"/>
          <w:lang w:eastAsia="ru-RU"/>
        </w:rPr>
        <w:br/>
        <w:t>• земельный налог – по нормативу 100%,</w:t>
      </w:r>
      <w:r>
        <w:rPr>
          <w:rFonts w:ascii="Times New Roman" w:hAnsi="Times New Roman"/>
          <w:sz w:val="28"/>
          <w:szCs w:val="28"/>
          <w:lang w:eastAsia="ru-RU"/>
        </w:rPr>
        <w:br/>
        <w:t>• налог на имущество физических лиц – по нормативу 100%</w:t>
      </w:r>
      <w:r>
        <w:rPr>
          <w:rFonts w:ascii="Times New Roman" w:hAnsi="Times New Roman"/>
          <w:sz w:val="28"/>
          <w:szCs w:val="28"/>
          <w:lang w:eastAsia="ru-RU"/>
        </w:rPr>
        <w:br/>
        <w:t>В этих условиях местная налоговая политика должна в первую очередь ориентироваться на увеличение налоговых доходов поселения за счет экономического роста и развития внутреннего налогового потенциала.</w:t>
      </w:r>
      <w:r>
        <w:rPr>
          <w:rFonts w:ascii="Times New Roman" w:hAnsi="Times New Roman"/>
          <w:sz w:val="28"/>
          <w:szCs w:val="28"/>
          <w:lang w:eastAsia="ru-RU"/>
        </w:rPr>
        <w:br/>
        <w:t>Прежде всего, необходимо продолжить работу по расширению налоговой базы за счет привлечения инвестиций и развития экономики поселения. Обеспечение благоприятных условий для реализации долгосрочных инвестиционных и инновационных проектов должны стать приоритетным направлением деятельности Администрации поселения. Предоставления налоговых льгот в 2026-2028 годах должны быть взвешенным.</w:t>
      </w:r>
      <w:r>
        <w:rPr>
          <w:rFonts w:ascii="Times New Roman" w:hAnsi="Times New Roman"/>
          <w:sz w:val="28"/>
          <w:szCs w:val="28"/>
          <w:lang w:eastAsia="ru-RU"/>
        </w:rPr>
        <w:br/>
      </w:r>
      <w:bookmarkStart w:id="0" w:name="_GoBack"/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Актуальной остается задача по поддержке малого и среднего бизнеса, а также </w:t>
      </w:r>
      <w:bookmarkEnd w:id="0"/>
      <w:r>
        <w:rPr>
          <w:rFonts w:ascii="Times New Roman" w:hAnsi="Times New Roman"/>
          <w:sz w:val="28"/>
          <w:szCs w:val="28"/>
          <w:lang w:eastAsia="ru-RU"/>
        </w:rPr>
        <w:t>устранению административных барьеров для предпринимательской деятельности. Работа с сектором малого и среднего бизнеса должна стать устойчивой основой роста собственной доходной базы поселения, одним из рычагов снижения безработицы и сокращения уровня бедности населения.</w:t>
      </w:r>
      <w:r>
        <w:rPr>
          <w:rFonts w:ascii="Times New Roman" w:hAnsi="Times New Roman"/>
          <w:sz w:val="28"/>
          <w:szCs w:val="28"/>
          <w:lang w:eastAsia="ru-RU"/>
        </w:rPr>
        <w:br/>
        <w:t>Следует обратить внимание на меры по сокращению задолженности по налогам и сборам в местный бюджет. Работу с должниками бюджета необходимо проводить также более активно.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Целесообразно также разрабатывать ряд мер по повышению собираемости отдельных налогов. Необходимо продолжить работу по сбору сведений, идентифицирующих правообладателей земельных участков, а также по корректировке ставок земельного налога и арендной платы за земельные участки, пересмотру перечня льготных категорий налогоплательщиков. Органам местного самоуправления следует осуществлять свою текущую деятельность в тесном сотрудничестве с налоговыми органами. Продолжать вести разъяснительную работу с населением по оформлению и государственной регистрации земельных паев и прочих земель, находящихся в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собственности .</w:t>
      </w:r>
      <w:proofErr w:type="gramEnd"/>
    </w:p>
    <w:p w:rsidR="00EA7ADB" w:rsidRDefault="00EA7ADB" w:rsidP="00EA7ADB">
      <w:pPr>
        <w:spacing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III. Основные направления бюджетной политики</w:t>
      </w:r>
    </w:p>
    <w:p w:rsidR="00EA7ADB" w:rsidRDefault="00EA7ADB" w:rsidP="00EA7ADB">
      <w:pPr>
        <w:spacing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Важнейшими задачами бюджетной политики в области расходов в 2026 – 2028 годы являются обеспечение сбалансированности и устойчивости бюджетной системы поселения, безусловное выполнение расходных обязательств местного бюджета, повышение эффективности бюджетных расходов, реализация Федерального закона от 08 мая 2010 года №83-ФЗ «О внесении изменений в отдельные законодательные акты Российской Феде-рации в связи с совершенствованием правового положения государственных (муниципальных) учреждений» в части открытости и прозрачности деятельности органов местного самоуправления.</w:t>
      </w:r>
      <w:r>
        <w:rPr>
          <w:rFonts w:ascii="Times New Roman" w:hAnsi="Times New Roman"/>
          <w:sz w:val="28"/>
          <w:szCs w:val="28"/>
          <w:lang w:eastAsia="ru-RU"/>
        </w:rPr>
        <w:br/>
        <w:t>Основными направлениями бюджетной политики должны стать:</w:t>
      </w:r>
      <w:r>
        <w:rPr>
          <w:rFonts w:ascii="Times New Roman" w:hAnsi="Times New Roman"/>
          <w:sz w:val="28"/>
          <w:szCs w:val="28"/>
          <w:lang w:eastAsia="ru-RU"/>
        </w:rPr>
        <w:br/>
        <w:t>• обеспечение полного финансирования обязательств, принятых на себя органами местного самоуправления;</w:t>
      </w:r>
      <w:r>
        <w:rPr>
          <w:rFonts w:ascii="Times New Roman" w:hAnsi="Times New Roman"/>
          <w:sz w:val="28"/>
          <w:szCs w:val="28"/>
          <w:lang w:eastAsia="ru-RU"/>
        </w:rPr>
        <w:br/>
        <w:t>• сокращение обязательств, требующих необоснованных и малоэффективных бюджетных расходов, отмена необеспеченных достаточным уровнем финансирования расходных обязательств;</w:t>
      </w:r>
      <w:r>
        <w:rPr>
          <w:rFonts w:ascii="Times New Roman" w:hAnsi="Times New Roman"/>
          <w:sz w:val="28"/>
          <w:szCs w:val="28"/>
          <w:lang w:eastAsia="ru-RU"/>
        </w:rPr>
        <w:br/>
        <w:t>• эффективное расходование средств бюджетов всех уровней, направленное на оптимальное достижение конечного результата;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• следует увеличить бюджетное финансирование и стимулирование привлечения средств частного капитала для реализации программ, направленных на модернизацию объектов коммунальной инфраструктуры 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энергоресурсосбережение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;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• продолжать работу по энергосбережению и повышению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энергоэффективности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стимулированию проведения энергосберегающих мероприятий во всех сферах; 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• совершенствование системы муниципальных закупок, обеспечивающих рациональное использование бюджетных средств, выполнение требований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законодательства и формирующих реальный конкурентный режим при размещении заказов на поставки товаров, выполнение работ, оказание услуг муниципальных нужд.</w:t>
      </w:r>
      <w:r>
        <w:rPr>
          <w:rFonts w:ascii="Times New Roman" w:hAnsi="Times New Roman"/>
          <w:sz w:val="28"/>
          <w:szCs w:val="28"/>
          <w:lang w:eastAsia="ru-RU"/>
        </w:rPr>
        <w:br/>
        <w:t>Особое внимание будет уделяться расширению программного принципа планирования и исполнения бюджета. Муниципальные программы должны стать ключевым механизмом, с помощью которого увязываются стратегическое и бюджетное планирование.</w:t>
      </w:r>
      <w:r>
        <w:rPr>
          <w:rFonts w:ascii="Times New Roman" w:hAnsi="Times New Roman"/>
          <w:sz w:val="28"/>
          <w:szCs w:val="28"/>
          <w:lang w:eastAsia="ru-RU"/>
        </w:rPr>
        <w:br/>
        <w:t>Проект бюджета поселения на 2026-2028годы будет сформирован в структуре муниципальных программ и не программных мероприятий. При этом муниципальные программы поселения, являясь инструментом реализации политики территории, сами по себе не формируют расходных обязательств, а задают общие границы для их принятия и исполнения с учетом увязки расходных обязательств разных видов с целями и ожидаемыми результатами в определенной сфере деятельности.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При формировании бюджета приоритетными расходами должны стать расходы на улучшение условий жизни человека при их непосредственном и активном участии. Объекты на которые направляются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средства ,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выбираются с учетом мнения жителей и при их непосредственном участии. </w:t>
      </w:r>
    </w:p>
    <w:p w:rsidR="00EA7ADB" w:rsidRDefault="00EA7ADB" w:rsidP="00EA7ADB">
      <w:pPr>
        <w:spacing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сфере совершенствования бюджетного процесса необходимо:</w:t>
      </w:r>
      <w:r>
        <w:rPr>
          <w:rFonts w:ascii="Times New Roman" w:hAnsi="Times New Roman"/>
          <w:sz w:val="28"/>
          <w:szCs w:val="28"/>
          <w:lang w:eastAsia="ru-RU"/>
        </w:rPr>
        <w:br/>
        <w:t>- расширить самостоятельность и ответственность распорядителей за использование бюджетных средств.</w:t>
      </w:r>
      <w:r>
        <w:rPr>
          <w:rFonts w:ascii="Times New Roman" w:hAnsi="Times New Roman"/>
          <w:sz w:val="28"/>
          <w:szCs w:val="28"/>
          <w:lang w:eastAsia="ru-RU"/>
        </w:rPr>
        <w:br/>
        <w:t>- обеспечить внедрение новых механизмов оказания и финансового обеспечения государственных и муниципальных услуг, повышение их доступности и качества.</w:t>
      </w:r>
    </w:p>
    <w:p w:rsidR="00EA7ADB" w:rsidRDefault="00EA7ADB" w:rsidP="00EA7ADB">
      <w:pPr>
        <w:spacing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IV. Основные направления политики в отношении муниципального</w:t>
      </w:r>
      <w:r>
        <w:rPr>
          <w:rFonts w:ascii="Times New Roman" w:hAnsi="Times New Roman"/>
          <w:sz w:val="28"/>
          <w:szCs w:val="28"/>
          <w:lang w:eastAsia="ru-RU"/>
        </w:rPr>
        <w:br/>
        <w:t>долга</w:t>
      </w:r>
    </w:p>
    <w:p w:rsidR="00EA7ADB" w:rsidRDefault="00EA7ADB" w:rsidP="00EA7ADB">
      <w:pPr>
        <w:spacing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Основными целями долговой политики на период 2026 год и плановый период 2027-2028 годов являются обеспечение сбалансированности бюджета поселения.</w:t>
      </w:r>
    </w:p>
    <w:p w:rsidR="00EA7ADB" w:rsidRDefault="00EA7ADB" w:rsidP="00EA7ADB">
      <w:pPr>
        <w:jc w:val="both"/>
        <w:rPr>
          <w:rFonts w:ascii="Times New Roman" w:hAnsi="Times New Roman"/>
          <w:sz w:val="28"/>
          <w:szCs w:val="28"/>
        </w:rPr>
      </w:pPr>
    </w:p>
    <w:p w:rsidR="00EA7ADB" w:rsidRDefault="00EA7ADB" w:rsidP="00EA7ADB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7ADB" w:rsidRDefault="00EA7ADB" w:rsidP="00EA7ADB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7ADB" w:rsidRDefault="00EA7ADB" w:rsidP="00EA7ADB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7ADB" w:rsidRDefault="00EA7ADB" w:rsidP="00EA7ADB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7ADB" w:rsidRDefault="00EA7ADB" w:rsidP="00EA7ADB">
      <w:pPr>
        <w:rPr>
          <w:rFonts w:cs="Calibri"/>
        </w:rPr>
      </w:pPr>
    </w:p>
    <w:p w:rsidR="00C81AD7" w:rsidRDefault="00C81AD7"/>
    <w:sectPr w:rsidR="00C81AD7" w:rsidSect="00EA7ADB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lassic Russian">
    <w:altName w:val="Arial"/>
    <w:charset w:val="00"/>
    <w:family w:val="swiss"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17A"/>
    <w:rsid w:val="00646151"/>
    <w:rsid w:val="00A21893"/>
    <w:rsid w:val="00C81AD7"/>
    <w:rsid w:val="00E2717A"/>
    <w:rsid w:val="00EA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F48B0"/>
  <w15:chartTrackingRefBased/>
  <w15:docId w15:val="{B5D76CE7-545B-4792-B969-51745F2F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A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8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B4446-7FAB-4F14-82BF-16B1FBEE7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1576</Words>
  <Characters>8988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2025-11-05T03:37:00Z</dcterms:created>
  <dcterms:modified xsi:type="dcterms:W3CDTF">2025-11-05T03:39:00Z</dcterms:modified>
</cp:coreProperties>
</file>