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355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1639"/>
        <w:gridCol w:w="4306"/>
      </w:tblGrid>
      <w:tr w:rsidR="00190210" w:rsidTr="000B6947">
        <w:trPr>
          <w:trHeight w:val="2196"/>
        </w:trPr>
        <w:tc>
          <w:tcPr>
            <w:tcW w:w="4078" w:type="dxa"/>
          </w:tcPr>
          <w:p w:rsidR="00190210" w:rsidRDefault="00190210" w:rsidP="000B6947">
            <w:pPr>
              <w:spacing w:line="276" w:lineRule="auto"/>
              <w:rPr>
                <w:b/>
              </w:rPr>
            </w:pPr>
          </w:p>
          <w:p w:rsidR="00190210" w:rsidRDefault="00190210" w:rsidP="000B6947">
            <w:pPr>
              <w:spacing w:line="276" w:lineRule="auto"/>
              <w:rPr>
                <w:b/>
              </w:rPr>
            </w:pPr>
            <w:r>
              <w:t>ТОЖУ КОЖУУННУН</w:t>
            </w:r>
          </w:p>
          <w:p w:rsidR="00190210" w:rsidRDefault="00190210" w:rsidP="000B6947">
            <w:pPr>
              <w:spacing w:line="276" w:lineRule="auto"/>
            </w:pPr>
            <w:r>
              <w:t>ЫРБАН КОДЭЭ ЧАГЫРГА</w:t>
            </w:r>
          </w:p>
          <w:p w:rsidR="00190210" w:rsidRDefault="00190210" w:rsidP="000B6947">
            <w:pPr>
              <w:spacing w:line="276" w:lineRule="auto"/>
            </w:pPr>
            <w:r>
              <w:t>ЧЕРИНИН</w:t>
            </w:r>
          </w:p>
          <w:p w:rsidR="00190210" w:rsidRDefault="00190210" w:rsidP="000B6947">
            <w:pPr>
              <w:spacing w:line="276" w:lineRule="auto"/>
            </w:pPr>
            <w:r>
              <w:t>ТОЛЭЭЛЕКЧИЛЕР ХУРАЛЫ</w:t>
            </w:r>
          </w:p>
          <w:p w:rsidR="00190210" w:rsidRDefault="00190210" w:rsidP="000B6947">
            <w:pPr>
              <w:spacing w:line="276" w:lineRule="auto"/>
            </w:pPr>
          </w:p>
          <w:p w:rsidR="00190210" w:rsidRDefault="00190210" w:rsidP="000B6947">
            <w:pPr>
              <w:spacing w:line="276" w:lineRule="auto"/>
              <w:rPr>
                <w:rFonts w:ascii="Classic Russian" w:hAnsi="Classic Russian"/>
                <w:b/>
                <w:sz w:val="28"/>
              </w:rPr>
            </w:pPr>
          </w:p>
        </w:tc>
        <w:tc>
          <w:tcPr>
            <w:tcW w:w="1639" w:type="dxa"/>
            <w:hideMark/>
          </w:tcPr>
          <w:p w:rsidR="00190210" w:rsidRDefault="00190210" w:rsidP="000B6947">
            <w:pPr>
              <w:spacing w:line="276" w:lineRule="auto"/>
              <w:jc w:val="both"/>
              <w:rPr>
                <w:rFonts w:ascii="Academy" w:hAnsi="Academy"/>
                <w:b/>
                <w:sz w:val="28"/>
              </w:rPr>
            </w:pPr>
            <w:r>
              <w:rPr>
                <w:rFonts w:ascii="Academy" w:hAnsi="Academy"/>
                <w:b/>
                <w:sz w:val="28"/>
                <w:szCs w:val="20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02210662" r:id="rId6"/>
              </w:object>
            </w:r>
          </w:p>
        </w:tc>
        <w:tc>
          <w:tcPr>
            <w:tcW w:w="4306" w:type="dxa"/>
          </w:tcPr>
          <w:p w:rsidR="00190210" w:rsidRDefault="00190210" w:rsidP="000B6947">
            <w:pPr>
              <w:spacing w:line="276" w:lineRule="auto"/>
              <w:jc w:val="right"/>
              <w:rPr>
                <w:rFonts w:ascii="Academy" w:hAnsi="Academy"/>
                <w:b/>
                <w:sz w:val="28"/>
              </w:rPr>
            </w:pPr>
          </w:p>
          <w:p w:rsidR="00190210" w:rsidRDefault="00190210" w:rsidP="000B6947">
            <w:pPr>
              <w:spacing w:line="276" w:lineRule="auto"/>
              <w:jc w:val="right"/>
            </w:pPr>
            <w:r>
              <w:t>ХУРАЛ ПРЕДСТАВИТЕЛЕЙ</w:t>
            </w:r>
          </w:p>
          <w:p w:rsidR="00190210" w:rsidRDefault="00190210" w:rsidP="000B6947">
            <w:pPr>
              <w:spacing w:line="276" w:lineRule="auto"/>
              <w:jc w:val="right"/>
            </w:pPr>
            <w:r>
              <w:t>СЕЛЬСКОГО ПОСЕЛЕНИЯ</w:t>
            </w:r>
          </w:p>
          <w:p w:rsidR="00190210" w:rsidRDefault="00190210" w:rsidP="000B6947">
            <w:pPr>
              <w:spacing w:line="276" w:lineRule="auto"/>
              <w:jc w:val="right"/>
            </w:pPr>
            <w:r>
              <w:t>СУМОНА ЫРБАН</w:t>
            </w:r>
          </w:p>
          <w:p w:rsidR="00190210" w:rsidRDefault="00190210" w:rsidP="000B6947">
            <w:pPr>
              <w:spacing w:line="276" w:lineRule="auto"/>
              <w:jc w:val="right"/>
            </w:pPr>
            <w:r>
              <w:t>ТОДЖИНСКОГО КОЖУУНА</w:t>
            </w:r>
          </w:p>
          <w:p w:rsidR="00190210" w:rsidRDefault="00190210" w:rsidP="000B6947">
            <w:pPr>
              <w:spacing w:line="276" w:lineRule="auto"/>
              <w:jc w:val="right"/>
              <w:rPr>
                <w:sz w:val="16"/>
              </w:rPr>
            </w:pPr>
            <w:r>
              <w:rPr>
                <w:sz w:val="16"/>
              </w:rPr>
              <w:t>с. Ырбан, ул. Промышленная 10</w:t>
            </w:r>
          </w:p>
          <w:p w:rsidR="00190210" w:rsidRDefault="00190210" w:rsidP="000B6947">
            <w:pPr>
              <w:spacing w:line="276" w:lineRule="auto"/>
              <w:jc w:val="right"/>
              <w:rPr>
                <w:sz w:val="16"/>
              </w:rPr>
            </w:pPr>
            <w:r>
              <w:rPr>
                <w:sz w:val="16"/>
              </w:rPr>
              <w:t>тел. 8-394-50-2-17-03</w:t>
            </w:r>
          </w:p>
          <w:p w:rsidR="00190210" w:rsidRDefault="00190210" w:rsidP="000B6947">
            <w:pPr>
              <w:spacing w:line="276" w:lineRule="auto"/>
              <w:jc w:val="right"/>
              <w:rPr>
                <w:rFonts w:ascii="Academy" w:hAnsi="Academy"/>
                <w:b/>
                <w:sz w:val="28"/>
              </w:rPr>
            </w:pPr>
            <w:r>
              <w:rPr>
                <w:b/>
                <w:sz w:val="16"/>
              </w:rPr>
              <w:t xml:space="preserve">                                     </w:t>
            </w:r>
          </w:p>
        </w:tc>
      </w:tr>
      <w:tr w:rsidR="00190210" w:rsidTr="000B6947">
        <w:trPr>
          <w:trHeight w:val="349"/>
        </w:trPr>
        <w:tc>
          <w:tcPr>
            <w:tcW w:w="40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90210" w:rsidRDefault="00190210" w:rsidP="000B6947">
            <w:pPr>
              <w:spacing w:line="276" w:lineRule="auto"/>
              <w:rPr>
                <w:rFonts w:ascii="Classic Russian" w:hAnsi="Classic Russian"/>
                <w:b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90210" w:rsidRDefault="00190210" w:rsidP="000B6947">
            <w:pPr>
              <w:spacing w:line="276" w:lineRule="auto"/>
              <w:jc w:val="both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90210" w:rsidRPr="00190210" w:rsidRDefault="00190210" w:rsidP="000B6947">
            <w:pPr>
              <w:spacing w:line="276" w:lineRule="auto"/>
              <w:jc w:val="right"/>
              <w:rPr>
                <w:rFonts w:asciiTheme="minorHAnsi" w:hAnsiTheme="minorHAnsi"/>
                <w:b/>
                <w:sz w:val="28"/>
              </w:rPr>
            </w:pPr>
          </w:p>
        </w:tc>
      </w:tr>
      <w:tr w:rsidR="00190210" w:rsidTr="000B6947">
        <w:trPr>
          <w:trHeight w:val="366"/>
        </w:trPr>
        <w:tc>
          <w:tcPr>
            <w:tcW w:w="4078" w:type="dxa"/>
          </w:tcPr>
          <w:p w:rsidR="00190210" w:rsidRDefault="00190210" w:rsidP="000B6947">
            <w:pPr>
              <w:spacing w:line="276" w:lineRule="auto"/>
              <w:rPr>
                <w:rFonts w:ascii="Classic Russian" w:hAnsi="Classic Russian"/>
                <w:b/>
              </w:rPr>
            </w:pPr>
          </w:p>
        </w:tc>
        <w:tc>
          <w:tcPr>
            <w:tcW w:w="1639" w:type="dxa"/>
          </w:tcPr>
          <w:p w:rsidR="00190210" w:rsidRDefault="00190210" w:rsidP="000B6947">
            <w:pPr>
              <w:spacing w:line="276" w:lineRule="auto"/>
              <w:jc w:val="both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4306" w:type="dxa"/>
          </w:tcPr>
          <w:p w:rsidR="00190210" w:rsidRDefault="00190210" w:rsidP="000B6947">
            <w:pPr>
              <w:spacing w:line="276" w:lineRule="auto"/>
              <w:jc w:val="right"/>
              <w:rPr>
                <w:rFonts w:ascii="Academy" w:hAnsi="Academy"/>
                <w:b/>
                <w:sz w:val="18"/>
              </w:rPr>
            </w:pPr>
          </w:p>
        </w:tc>
      </w:tr>
      <w:tr w:rsidR="00190210" w:rsidTr="000B6947">
        <w:trPr>
          <w:trHeight w:val="349"/>
        </w:trPr>
        <w:tc>
          <w:tcPr>
            <w:tcW w:w="4078" w:type="dxa"/>
            <w:hideMark/>
          </w:tcPr>
          <w:p w:rsidR="00190210" w:rsidRDefault="00190210" w:rsidP="000B694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r w:rsidR="00CF2FB8">
              <w:rPr>
                <w:b/>
              </w:rPr>
              <w:t>16</w:t>
            </w:r>
          </w:p>
        </w:tc>
        <w:tc>
          <w:tcPr>
            <w:tcW w:w="1639" w:type="dxa"/>
          </w:tcPr>
          <w:p w:rsidR="00190210" w:rsidRDefault="00190210" w:rsidP="000B6947">
            <w:pPr>
              <w:spacing w:line="276" w:lineRule="auto"/>
              <w:jc w:val="both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4306" w:type="dxa"/>
            <w:hideMark/>
          </w:tcPr>
          <w:p w:rsidR="00190210" w:rsidRDefault="00190210" w:rsidP="000B6947">
            <w:pPr>
              <w:spacing w:line="276" w:lineRule="auto"/>
              <w:jc w:val="both"/>
              <w:rPr>
                <w:b/>
              </w:rPr>
            </w:pPr>
            <w:r>
              <w:t xml:space="preserve">                         « </w:t>
            </w:r>
            <w:r w:rsidR="00CF2FB8">
              <w:t>27    » декабря</w:t>
            </w:r>
            <w:bookmarkStart w:id="0" w:name="_GoBack"/>
            <w:bookmarkEnd w:id="0"/>
            <w:r>
              <w:t xml:space="preserve"> 2021 г.</w:t>
            </w:r>
          </w:p>
        </w:tc>
      </w:tr>
    </w:tbl>
    <w:p w:rsidR="00190210" w:rsidRPr="00C1532B" w:rsidRDefault="00190210" w:rsidP="00190210">
      <w:pPr>
        <w:pStyle w:val="Style3"/>
        <w:widowControl/>
        <w:spacing w:line="240" w:lineRule="exact"/>
        <w:rPr>
          <w:b/>
          <w:sz w:val="28"/>
          <w:szCs w:val="28"/>
        </w:rPr>
      </w:pPr>
    </w:p>
    <w:p w:rsidR="00190210" w:rsidRDefault="00190210" w:rsidP="00190210">
      <w:pPr>
        <w:pStyle w:val="Style3"/>
        <w:widowControl/>
        <w:spacing w:before="154"/>
        <w:ind w:left="4224"/>
        <w:rPr>
          <w:rStyle w:val="FontStyle12"/>
        </w:rPr>
      </w:pPr>
      <w:r>
        <w:rPr>
          <w:rStyle w:val="FontStyle12"/>
        </w:rPr>
        <w:t>Решение</w:t>
      </w:r>
    </w:p>
    <w:p w:rsidR="00190210" w:rsidRDefault="00190210" w:rsidP="00190210">
      <w:pPr>
        <w:pStyle w:val="Style4"/>
        <w:widowControl/>
        <w:spacing w:before="14"/>
        <w:ind w:left="1037"/>
        <w:rPr>
          <w:rStyle w:val="FontStyle13"/>
        </w:rPr>
      </w:pPr>
      <w:r>
        <w:rPr>
          <w:rStyle w:val="FontStyle13"/>
        </w:rPr>
        <w:t xml:space="preserve">Хурала представителей сельского поселения </w:t>
      </w:r>
      <w:proofErr w:type="spellStart"/>
      <w:r>
        <w:rPr>
          <w:rStyle w:val="FontStyle13"/>
        </w:rPr>
        <w:t>сумона</w:t>
      </w:r>
      <w:proofErr w:type="spellEnd"/>
      <w:r>
        <w:rPr>
          <w:rStyle w:val="FontStyle13"/>
        </w:rPr>
        <w:t xml:space="preserve"> Ырбан</w:t>
      </w:r>
    </w:p>
    <w:p w:rsidR="00190210" w:rsidRDefault="00190210" w:rsidP="00190210">
      <w:pPr>
        <w:pStyle w:val="Style5"/>
        <w:widowControl/>
        <w:spacing w:line="240" w:lineRule="exact"/>
        <w:rPr>
          <w:sz w:val="20"/>
          <w:szCs w:val="20"/>
        </w:rPr>
      </w:pPr>
    </w:p>
    <w:p w:rsidR="00190210" w:rsidRPr="004C1782" w:rsidRDefault="00190210" w:rsidP="001902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0210" w:rsidRPr="00310946" w:rsidRDefault="00190210" w:rsidP="001902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Ырбан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90210" w:rsidRPr="004C1782" w:rsidRDefault="00190210" w:rsidP="00190210">
      <w:pPr>
        <w:jc w:val="center"/>
        <w:rPr>
          <w:sz w:val="28"/>
          <w:szCs w:val="28"/>
        </w:rPr>
      </w:pPr>
    </w:p>
    <w:p w:rsidR="00190210" w:rsidRPr="00B1698C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</w:p>
    <w:p w:rsidR="00190210" w:rsidRPr="00B1698C" w:rsidRDefault="00190210" w:rsidP="0019021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Ырбан 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Тыва на 2022 год и на плановый период 2023 и 2024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90210" w:rsidRPr="00B1698C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8469E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сельского </w:t>
      </w:r>
      <w:proofErr w:type="gramStart"/>
      <w:r w:rsidRPr="00294F55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proofErr w:type="gramEnd"/>
      <w:r w:rsidRPr="00294F55">
        <w:rPr>
          <w:rFonts w:ascii="Times New Roman" w:hAnsi="Times New Roman" w:cs="Times New Roman"/>
          <w:sz w:val="28"/>
          <w:szCs w:val="28"/>
        </w:rPr>
        <w:t xml:space="preserve"> Ырбан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Республики Тыва (</w:t>
      </w:r>
      <w:r w:rsidRPr="008469E5">
        <w:rPr>
          <w:rFonts w:ascii="Times New Roman" w:hAnsi="Times New Roman" w:cs="Times New Roman"/>
          <w:sz w:val="28"/>
          <w:szCs w:val="28"/>
        </w:rPr>
        <w:t>далее – бюджет поселения) на 2022 год:</w:t>
      </w:r>
    </w:p>
    <w:p w:rsidR="00190210" w:rsidRPr="008469E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5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поселения в </w:t>
      </w:r>
      <w:proofErr w:type="gramStart"/>
      <w:r w:rsidRPr="008469E5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8469E5" w:rsidRPr="008469E5">
        <w:rPr>
          <w:rFonts w:ascii="Times New Roman" w:hAnsi="Times New Roman" w:cs="Times New Roman"/>
          <w:sz w:val="28"/>
          <w:szCs w:val="28"/>
        </w:rPr>
        <w:t>2839</w:t>
      </w:r>
      <w:proofErr w:type="gramEnd"/>
      <w:r w:rsidR="008469E5" w:rsidRPr="008469E5">
        <w:rPr>
          <w:rFonts w:ascii="Times New Roman" w:hAnsi="Times New Roman" w:cs="Times New Roman"/>
          <w:sz w:val="28"/>
          <w:szCs w:val="28"/>
        </w:rPr>
        <w:t>,6</w:t>
      </w:r>
      <w:r w:rsidRPr="008469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0210" w:rsidRPr="008469E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5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</w:t>
      </w:r>
      <w:proofErr w:type="gramStart"/>
      <w:r w:rsidRPr="008469E5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8469E5" w:rsidRPr="008469E5">
        <w:rPr>
          <w:rFonts w:ascii="Times New Roman" w:hAnsi="Times New Roman" w:cs="Times New Roman"/>
          <w:sz w:val="28"/>
          <w:szCs w:val="28"/>
        </w:rPr>
        <w:t>2839</w:t>
      </w:r>
      <w:proofErr w:type="gramEnd"/>
      <w:r w:rsidR="008469E5" w:rsidRPr="008469E5">
        <w:rPr>
          <w:rFonts w:ascii="Times New Roman" w:hAnsi="Times New Roman" w:cs="Times New Roman"/>
          <w:sz w:val="28"/>
          <w:szCs w:val="28"/>
        </w:rPr>
        <w:t>,6</w:t>
      </w:r>
      <w:r w:rsidRPr="008469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0210" w:rsidRPr="008469E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5">
        <w:rPr>
          <w:rFonts w:ascii="Times New Roman" w:hAnsi="Times New Roman" w:cs="Times New Roman"/>
          <w:sz w:val="28"/>
          <w:szCs w:val="28"/>
        </w:rPr>
        <w:t>3) дефицит бюджета поселения в сумме 0 тыс. рублей;</w:t>
      </w:r>
    </w:p>
    <w:p w:rsidR="00190210" w:rsidRPr="008469E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5">
        <w:rPr>
          <w:rFonts w:ascii="Times New Roman" w:hAnsi="Times New Roman" w:cs="Times New Roman"/>
          <w:sz w:val="28"/>
          <w:szCs w:val="28"/>
        </w:rPr>
        <w:t xml:space="preserve">4) источники внутреннего финансирования дефицита бюджета поселения на 2022 год согласно </w:t>
      </w:r>
      <w:proofErr w:type="gramStart"/>
      <w:r w:rsidRPr="008469E5">
        <w:rPr>
          <w:rFonts w:ascii="Times New Roman" w:hAnsi="Times New Roman" w:cs="Times New Roman"/>
          <w:sz w:val="28"/>
          <w:szCs w:val="28"/>
        </w:rPr>
        <w:t>приложению  1</w:t>
      </w:r>
      <w:proofErr w:type="gramEnd"/>
      <w:r w:rsidRPr="008469E5">
        <w:rPr>
          <w:rFonts w:ascii="Times New Roman" w:hAnsi="Times New Roman" w:cs="Times New Roman"/>
          <w:sz w:val="28"/>
          <w:szCs w:val="28"/>
        </w:rPr>
        <w:t>а  к настоящему Решению.</w:t>
      </w:r>
    </w:p>
    <w:p w:rsidR="00190210" w:rsidRPr="008469E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5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поселения на 2023 год и на 2024 год:</w:t>
      </w:r>
    </w:p>
    <w:p w:rsidR="00190210" w:rsidRPr="008469E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5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поселения на 2023 год в сумме </w:t>
      </w:r>
      <w:r w:rsidR="008469E5" w:rsidRPr="008469E5">
        <w:rPr>
          <w:rFonts w:ascii="Times New Roman" w:hAnsi="Times New Roman" w:cs="Times New Roman"/>
          <w:sz w:val="28"/>
          <w:szCs w:val="28"/>
        </w:rPr>
        <w:t>2696,5</w:t>
      </w:r>
      <w:r w:rsidRPr="008469E5">
        <w:rPr>
          <w:rFonts w:ascii="Times New Roman" w:hAnsi="Times New Roman" w:cs="Times New Roman"/>
          <w:sz w:val="28"/>
          <w:szCs w:val="28"/>
        </w:rPr>
        <w:t xml:space="preserve"> тыс. рублей, на 2024 год в </w:t>
      </w:r>
      <w:proofErr w:type="gramStart"/>
      <w:r w:rsidRPr="008469E5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8469E5" w:rsidRPr="008469E5">
        <w:rPr>
          <w:rFonts w:ascii="Times New Roman" w:hAnsi="Times New Roman" w:cs="Times New Roman"/>
          <w:sz w:val="28"/>
          <w:szCs w:val="28"/>
        </w:rPr>
        <w:t>2714</w:t>
      </w:r>
      <w:proofErr w:type="gramEnd"/>
      <w:r w:rsidR="008469E5" w:rsidRPr="008469E5">
        <w:rPr>
          <w:rFonts w:ascii="Times New Roman" w:hAnsi="Times New Roman" w:cs="Times New Roman"/>
          <w:sz w:val="28"/>
          <w:szCs w:val="28"/>
        </w:rPr>
        <w:t>,5</w:t>
      </w:r>
      <w:r w:rsidRPr="008469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0210" w:rsidRPr="008469E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5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на 2023 год в сумме </w:t>
      </w:r>
      <w:r w:rsidR="008469E5" w:rsidRPr="008469E5">
        <w:rPr>
          <w:rFonts w:ascii="Times New Roman" w:hAnsi="Times New Roman" w:cs="Times New Roman"/>
          <w:sz w:val="28"/>
          <w:szCs w:val="28"/>
        </w:rPr>
        <w:t>2696,5</w:t>
      </w:r>
      <w:r w:rsidRPr="008469E5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8469E5" w:rsidRPr="008469E5">
        <w:rPr>
          <w:rFonts w:ascii="Times New Roman" w:hAnsi="Times New Roman" w:cs="Times New Roman"/>
          <w:sz w:val="28"/>
          <w:szCs w:val="28"/>
        </w:rPr>
        <w:t>67,41</w:t>
      </w:r>
      <w:r w:rsidRPr="008469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0210" w:rsidRPr="008469E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5">
        <w:rPr>
          <w:rFonts w:ascii="Times New Roman" w:hAnsi="Times New Roman" w:cs="Times New Roman"/>
          <w:sz w:val="28"/>
          <w:szCs w:val="28"/>
        </w:rPr>
        <w:t xml:space="preserve">3) общий объем расходов бюджета поселения на 2024 год в </w:t>
      </w:r>
      <w:proofErr w:type="gramStart"/>
      <w:r w:rsidRPr="008469E5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8469E5" w:rsidRPr="008469E5">
        <w:rPr>
          <w:rFonts w:ascii="Times New Roman" w:hAnsi="Times New Roman" w:cs="Times New Roman"/>
          <w:sz w:val="28"/>
          <w:szCs w:val="28"/>
        </w:rPr>
        <w:t>2714</w:t>
      </w:r>
      <w:proofErr w:type="gramEnd"/>
      <w:r w:rsidR="008469E5" w:rsidRPr="008469E5">
        <w:rPr>
          <w:rFonts w:ascii="Times New Roman" w:hAnsi="Times New Roman" w:cs="Times New Roman"/>
          <w:sz w:val="28"/>
          <w:szCs w:val="28"/>
        </w:rPr>
        <w:t>,5</w:t>
      </w:r>
      <w:r w:rsidRPr="008469E5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8469E5" w:rsidRPr="008469E5">
        <w:rPr>
          <w:rFonts w:ascii="Times New Roman" w:hAnsi="Times New Roman" w:cs="Times New Roman"/>
          <w:sz w:val="28"/>
          <w:szCs w:val="28"/>
        </w:rPr>
        <w:t>135,72</w:t>
      </w:r>
      <w:r w:rsidRPr="008469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5">
        <w:rPr>
          <w:rFonts w:ascii="Times New Roman" w:hAnsi="Times New Roman" w:cs="Times New Roman"/>
          <w:sz w:val="28"/>
          <w:szCs w:val="28"/>
        </w:rPr>
        <w:t>4) дефицит бюджета поселения на 2023 год в сумме   0 тыс. рублей</w:t>
      </w:r>
      <w:r w:rsidRPr="00294F55">
        <w:rPr>
          <w:rFonts w:ascii="Times New Roman" w:hAnsi="Times New Roman" w:cs="Times New Roman"/>
          <w:sz w:val="28"/>
          <w:szCs w:val="28"/>
        </w:rPr>
        <w:t xml:space="preserve">, на 2024 год в </w:t>
      </w:r>
      <w:proofErr w:type="gramStart"/>
      <w:r w:rsidRPr="00294F55">
        <w:rPr>
          <w:rFonts w:ascii="Times New Roman" w:hAnsi="Times New Roman" w:cs="Times New Roman"/>
          <w:sz w:val="28"/>
          <w:szCs w:val="28"/>
        </w:rPr>
        <w:t>сумме  0</w:t>
      </w:r>
      <w:proofErr w:type="gramEnd"/>
      <w:r w:rsidRPr="00294F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 xml:space="preserve">5) источники внутреннего финансирования дефицита бюджета поселения на плановый период 2023 и 2024 годов согласно приложению </w:t>
      </w:r>
      <w:r w:rsidRPr="00294F55">
        <w:rPr>
          <w:rFonts w:ascii="Times New Roman" w:hAnsi="Times New Roman" w:cs="Times New Roman"/>
          <w:sz w:val="28"/>
          <w:szCs w:val="28"/>
          <w:u w:val="single"/>
        </w:rPr>
        <w:t>1а</w:t>
      </w:r>
      <w:r w:rsidRPr="00294F55">
        <w:rPr>
          <w:rFonts w:ascii="Times New Roman" w:hAnsi="Times New Roman" w:cs="Times New Roman"/>
          <w:sz w:val="28"/>
          <w:szCs w:val="28"/>
        </w:rPr>
        <w:t xml:space="preserve">   к настоящему Решению.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190210" w:rsidP="0019021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>Статья 2. Доходы бюджета поселения на 2022 год и плановый период 2023 и 2024 годов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>1. Утвердить нормативы распределения доходов в бюджет поселения согласно приложению 2 к настоящему Решению.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>2. Установить, что в составе бюджета поселения учитываются поступления доходов, в том числе безвозмездные поступления, получаемые из муниципального бюджета, на 2022 год и на плановый период на 2023 и 2024 годов согласно приложению 3,3а к настоящему Решению.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>3. Средства в валюте Российской Федерации, полученные муниципальными казенными учреждениями от приносящей доход деятельности, подлежат перечислению в доход бюджета поселения.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190210" w:rsidP="0019021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>Статья 3. Главные администраторы доходов бюджета поселения и главные администраторы источников финансирования дефицита бюджета поселения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A85FC5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0210" w:rsidRPr="00294F55">
        <w:rPr>
          <w:rFonts w:ascii="Times New Roman" w:hAnsi="Times New Roman" w:cs="Times New Roman"/>
          <w:sz w:val="28"/>
          <w:szCs w:val="28"/>
        </w:rPr>
        <w:t xml:space="preserve">. Утвердить перечень главных администраторов источников внутреннего финансирования дефицита бюджета поселения на 2022 год и на плановый период 2023 и </w:t>
      </w:r>
      <w:r w:rsidR="00A60707">
        <w:rPr>
          <w:rFonts w:ascii="Times New Roman" w:hAnsi="Times New Roman" w:cs="Times New Roman"/>
          <w:sz w:val="28"/>
          <w:szCs w:val="28"/>
        </w:rPr>
        <w:t>2024 годов согласно приложению 4</w:t>
      </w:r>
      <w:r w:rsidR="00190210" w:rsidRPr="00294F5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90210" w:rsidRPr="00294F55" w:rsidRDefault="00A85FC5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0210" w:rsidRPr="00294F55">
        <w:rPr>
          <w:rFonts w:ascii="Times New Roman" w:hAnsi="Times New Roman" w:cs="Times New Roman"/>
          <w:sz w:val="28"/>
          <w:szCs w:val="28"/>
        </w:rPr>
        <w:t xml:space="preserve">. В случае изменения в 2022 году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бюджета поселения и перечень главных администраторов источников финансирования дефицита бюджета поселения,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Администрации сельского поселения с. Ырбан </w:t>
      </w:r>
      <w:proofErr w:type="spellStart"/>
      <w:r w:rsidR="00190210" w:rsidRPr="00294F55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="00190210" w:rsidRPr="0029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210" w:rsidRPr="00294F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90210" w:rsidRPr="00294F55">
        <w:rPr>
          <w:rFonts w:ascii="Times New Roman" w:hAnsi="Times New Roman" w:cs="Times New Roman"/>
          <w:sz w:val="28"/>
          <w:szCs w:val="28"/>
        </w:rPr>
        <w:t xml:space="preserve"> Республики Тыва без внесения изменений в настоящее Решение.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190210" w:rsidP="0019021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>Статья 4. Бюджетные ассигнования бюджета поселения на 2022 год и на плановый период 2023 и 2024 годов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 xml:space="preserve">1) на 2022 год в сумме </w:t>
      </w:r>
      <w:r w:rsidR="008469E5">
        <w:rPr>
          <w:rFonts w:ascii="Times New Roman" w:hAnsi="Times New Roman" w:cs="Times New Roman"/>
          <w:sz w:val="28"/>
          <w:szCs w:val="28"/>
        </w:rPr>
        <w:t>2839,6</w:t>
      </w:r>
      <w:r w:rsidRPr="00294F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 xml:space="preserve">2) на 2023 год в </w:t>
      </w:r>
      <w:r w:rsidRPr="008469E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469E5" w:rsidRPr="008469E5">
        <w:rPr>
          <w:rFonts w:ascii="Times New Roman" w:hAnsi="Times New Roman" w:cs="Times New Roman"/>
          <w:sz w:val="28"/>
          <w:szCs w:val="28"/>
        </w:rPr>
        <w:t>2696,5</w:t>
      </w:r>
      <w:r w:rsidRPr="008469E5">
        <w:rPr>
          <w:rFonts w:ascii="Times New Roman" w:hAnsi="Times New Roman" w:cs="Times New Roman"/>
          <w:sz w:val="28"/>
          <w:szCs w:val="28"/>
        </w:rPr>
        <w:t xml:space="preserve">тыс. рублей и на 2024 год в сумме </w:t>
      </w:r>
      <w:r w:rsidR="008469E5" w:rsidRPr="008469E5">
        <w:rPr>
          <w:rFonts w:ascii="Times New Roman" w:hAnsi="Times New Roman" w:cs="Times New Roman"/>
          <w:sz w:val="28"/>
          <w:szCs w:val="28"/>
        </w:rPr>
        <w:t>2714,</w:t>
      </w:r>
      <w:proofErr w:type="gramStart"/>
      <w:r w:rsidR="008469E5" w:rsidRPr="008469E5">
        <w:rPr>
          <w:rFonts w:ascii="Times New Roman" w:hAnsi="Times New Roman" w:cs="Times New Roman"/>
          <w:sz w:val="28"/>
          <w:szCs w:val="28"/>
        </w:rPr>
        <w:t>5</w:t>
      </w:r>
      <w:r w:rsidRPr="00294F55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294F5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 сельского (городского) поселения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Ырбан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294F55">
        <w:rPr>
          <w:rFonts w:ascii="Times New Roman" w:hAnsi="Times New Roman" w:cs="Times New Roman"/>
          <w:sz w:val="28"/>
          <w:szCs w:val="28"/>
        </w:rPr>
        <w:lastRenderedPageBreak/>
        <w:t>Тыва и непрограммным направлениям деятельности), группам видов расходов классификации расходов бюджета поселения: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294F55">
        <w:rPr>
          <w:rFonts w:ascii="Times New Roman" w:hAnsi="Times New Roman" w:cs="Times New Roman"/>
          <w:sz w:val="28"/>
          <w:szCs w:val="28"/>
        </w:rPr>
        <w:t>1) н</w:t>
      </w:r>
      <w:r w:rsidR="007B3974">
        <w:rPr>
          <w:rFonts w:ascii="Times New Roman" w:hAnsi="Times New Roman" w:cs="Times New Roman"/>
          <w:sz w:val="28"/>
          <w:szCs w:val="28"/>
        </w:rPr>
        <w:t>а 2022 год согласно приложению 5</w:t>
      </w:r>
      <w:r w:rsidRPr="00294F5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>2) на 2023 и</w:t>
      </w:r>
      <w:r w:rsidR="007B3974">
        <w:rPr>
          <w:rFonts w:ascii="Times New Roman" w:hAnsi="Times New Roman" w:cs="Times New Roman"/>
          <w:sz w:val="28"/>
          <w:szCs w:val="28"/>
        </w:rPr>
        <w:t xml:space="preserve"> 2024 годы согласно приложению 5</w:t>
      </w:r>
      <w:proofErr w:type="gramStart"/>
      <w:r w:rsidRPr="00294F55">
        <w:rPr>
          <w:rFonts w:ascii="Times New Roman" w:hAnsi="Times New Roman" w:cs="Times New Roman"/>
          <w:sz w:val="28"/>
          <w:szCs w:val="28"/>
        </w:rPr>
        <w:t>а  к</w:t>
      </w:r>
      <w:proofErr w:type="gramEnd"/>
      <w:r w:rsidRPr="00294F55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>3. Утвердить ведомственную структуру расходов бюджета поселения: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>1) на 2022</w:t>
      </w:r>
      <w:r w:rsidR="007B3974">
        <w:rPr>
          <w:rFonts w:ascii="Times New Roman" w:hAnsi="Times New Roman" w:cs="Times New Roman"/>
          <w:sz w:val="28"/>
          <w:szCs w:val="28"/>
        </w:rPr>
        <w:t xml:space="preserve"> год согласно приложению 6</w:t>
      </w:r>
      <w:r w:rsidRPr="00294F5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>2) на 2023 и</w:t>
      </w:r>
      <w:r w:rsidR="007B3974">
        <w:rPr>
          <w:rFonts w:ascii="Times New Roman" w:hAnsi="Times New Roman" w:cs="Times New Roman"/>
          <w:sz w:val="28"/>
          <w:szCs w:val="28"/>
        </w:rPr>
        <w:t xml:space="preserve"> 2024 годы согласно приложению 6</w:t>
      </w:r>
      <w:r w:rsidRPr="00294F55">
        <w:rPr>
          <w:rFonts w:ascii="Times New Roman" w:hAnsi="Times New Roman" w:cs="Times New Roman"/>
          <w:sz w:val="28"/>
          <w:szCs w:val="28"/>
        </w:rPr>
        <w:t>а к настоящему Решению.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</w:p>
    <w:p w:rsidR="00190210" w:rsidRPr="00294F55" w:rsidRDefault="00190210" w:rsidP="0019021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сельского (городского) поселения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Ырбан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</w:p>
    <w:p w:rsidR="00190210" w:rsidRPr="00294F55" w:rsidRDefault="00190210" w:rsidP="0019021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 xml:space="preserve">Статья 6. Муниципальные внутренние заимствования сельского (городского) </w:t>
      </w:r>
      <w:proofErr w:type="gramStart"/>
      <w:r w:rsidRPr="00294F55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proofErr w:type="gramEnd"/>
      <w:r w:rsidRPr="00294F55">
        <w:rPr>
          <w:rFonts w:ascii="Times New Roman" w:hAnsi="Times New Roman" w:cs="Times New Roman"/>
          <w:sz w:val="28"/>
          <w:szCs w:val="28"/>
        </w:rPr>
        <w:t xml:space="preserve"> Ырбан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Республики Тыва и муниципальный внутренний долг Республики Тыва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 xml:space="preserve">1. Утвердить Программу муниципальных внутренних заимствований сельского (городского) поселения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Ырбан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Республики Тыва на 2022 год и на плановый период 2023 и 202</w:t>
      </w:r>
      <w:r w:rsidR="007B3974">
        <w:rPr>
          <w:rFonts w:ascii="Times New Roman" w:hAnsi="Times New Roman" w:cs="Times New Roman"/>
          <w:sz w:val="28"/>
          <w:szCs w:val="28"/>
        </w:rPr>
        <w:t xml:space="preserve">4 годов согласно </w:t>
      </w:r>
      <w:proofErr w:type="gramStart"/>
      <w:r w:rsidR="007B3974">
        <w:rPr>
          <w:rFonts w:ascii="Times New Roman" w:hAnsi="Times New Roman" w:cs="Times New Roman"/>
          <w:sz w:val="28"/>
          <w:szCs w:val="28"/>
        </w:rPr>
        <w:t>приложению  7</w:t>
      </w:r>
      <w:proofErr w:type="gramEnd"/>
      <w:r w:rsidR="007B3974">
        <w:rPr>
          <w:rFonts w:ascii="Times New Roman" w:hAnsi="Times New Roman" w:cs="Times New Roman"/>
          <w:sz w:val="28"/>
          <w:szCs w:val="28"/>
        </w:rPr>
        <w:t>,7</w:t>
      </w:r>
      <w:r w:rsidRPr="00294F55">
        <w:rPr>
          <w:rFonts w:ascii="Times New Roman" w:hAnsi="Times New Roman" w:cs="Times New Roman"/>
          <w:sz w:val="28"/>
          <w:szCs w:val="28"/>
        </w:rPr>
        <w:t>а к настоящему Решению.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 xml:space="preserve">2. Установить верхний предел внутреннего долга </w:t>
      </w:r>
      <w:proofErr w:type="gramStart"/>
      <w:r w:rsidRPr="00294F55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proofErr w:type="gramEnd"/>
      <w:r w:rsidRPr="00294F55">
        <w:rPr>
          <w:rFonts w:ascii="Times New Roman" w:hAnsi="Times New Roman" w:cs="Times New Roman"/>
          <w:sz w:val="28"/>
          <w:szCs w:val="28"/>
        </w:rPr>
        <w:t xml:space="preserve"> Ырбан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Республики Тыва, в том числе по муниципальным гарантиям ______________ Республики Тыва на 1 января 2022 года в сумме ____</w:t>
      </w:r>
      <w:r w:rsidRPr="00294F55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294F55">
        <w:rPr>
          <w:rFonts w:ascii="Times New Roman" w:hAnsi="Times New Roman" w:cs="Times New Roman"/>
          <w:sz w:val="28"/>
          <w:szCs w:val="28"/>
        </w:rPr>
        <w:t>_______ тыс. рублей, на 1 января 2023 года в сумме __0________ тыс. рублей и на 1 января 2024 года в сумме ___0_______ тыс. рублей.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>3. Предельный объем муниципального долга _______0_________ Республики Тыва на 2022 год не должен превышать ________0___ тыс. рублей, на 2023 год - ___0_______ тыс. рублей, на 2024 год - ____0____ тыс. рублей.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>4. Утвердить в составе расходов бюджета поселения бюджетные ассигнования на обслуживание муниципального долга Республики Тыва: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>1) в 2022 году в сумме __0_____ тыс. рублей;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>2) в 2023 году в сумме ___0____ тыс. рублей;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>3) в 2024 году в сумме _____0____ тыс. рублей.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190210" w:rsidP="0019021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 xml:space="preserve">Статья 8. Предоставление муниципальных гарантий </w:t>
      </w:r>
      <w:proofErr w:type="gramStart"/>
      <w:r w:rsidRPr="00294F55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29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Ырбан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 Республики Тыва в валюте Российской Федерации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>Установить, что в 2022 году и на плановый период 2023 и 2024 годов муниципальные гарантии</w:t>
      </w:r>
      <w:r w:rsidRPr="00294F55">
        <w:rPr>
          <w:rFonts w:ascii="Times New Roman" w:hAnsi="Times New Roman" w:cs="Times New Roman"/>
        </w:rPr>
        <w:t xml:space="preserve"> </w:t>
      </w:r>
      <w:proofErr w:type="gramStart"/>
      <w:r w:rsidRPr="00294F55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29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Ырбан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lastRenderedPageBreak/>
        <w:t>кожууна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 Республики Тыва не предоставляются.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190210" w:rsidP="0019021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 xml:space="preserve">Статья 9. Резервный фонд Администрации сельского </w:t>
      </w:r>
      <w:proofErr w:type="gramStart"/>
      <w:r w:rsidRPr="00294F55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proofErr w:type="gramEnd"/>
      <w:r w:rsidRPr="00294F55">
        <w:rPr>
          <w:rFonts w:ascii="Times New Roman" w:hAnsi="Times New Roman" w:cs="Times New Roman"/>
          <w:sz w:val="28"/>
          <w:szCs w:val="28"/>
        </w:rPr>
        <w:t xml:space="preserve"> Ырбан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 Республики Тыва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бюджета поселения предусматривается резервный фонд Администрации сельского (городского) </w:t>
      </w:r>
      <w:proofErr w:type="gramStart"/>
      <w:r w:rsidRPr="00294F55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proofErr w:type="gramEnd"/>
      <w:r w:rsidRPr="00294F55">
        <w:rPr>
          <w:rFonts w:ascii="Times New Roman" w:hAnsi="Times New Roman" w:cs="Times New Roman"/>
          <w:sz w:val="28"/>
          <w:szCs w:val="28"/>
        </w:rPr>
        <w:t xml:space="preserve"> Ырбан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Республики Тыва на 2022 год в сумме  30 тыс. рублей, на 2023 год в сумме  30 тыс. рублей, на 2024 год в сумме  30 тыс. рублей.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190210" w:rsidP="0019021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 xml:space="preserve">Статья 10. Особенности исполнения </w:t>
      </w:r>
      <w:r w:rsidR="00014461" w:rsidRPr="00294F55">
        <w:rPr>
          <w:rFonts w:ascii="Times New Roman" w:hAnsi="Times New Roman" w:cs="Times New Roman"/>
          <w:sz w:val="28"/>
          <w:szCs w:val="28"/>
        </w:rPr>
        <w:t>бюджета поселения на 2022</w:t>
      </w:r>
      <w:r w:rsidRPr="00294F5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 xml:space="preserve">1. Установить, что не использованные по состоянию на 1 января 2022 года остатки межбюджетных трансфертов, предоставленных из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бюджета бюджету поселения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Ырбан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Республики Тыва в форме субвенций, субсидий и иных межбюджетных трансфертов, имеющих целевое назначение, подлежат возврату в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бюджет в течение первых 15 рабочих дней 2022года.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 xml:space="preserve">2. Администрация сельского </w:t>
      </w:r>
      <w:proofErr w:type="gramStart"/>
      <w:r w:rsidRPr="00294F55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proofErr w:type="gramEnd"/>
      <w:r w:rsidRPr="00294F55">
        <w:rPr>
          <w:rFonts w:ascii="Times New Roman" w:hAnsi="Times New Roman" w:cs="Times New Roman"/>
          <w:sz w:val="28"/>
          <w:szCs w:val="28"/>
        </w:rPr>
        <w:t xml:space="preserve"> Ырбан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поселения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 поселения, в порядке, предусмотренном бюджетным законодательством Российской Федерации.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 xml:space="preserve">Предоставить в 2022 году и на плановый период 2023 и 2024 </w:t>
      </w:r>
      <w:proofErr w:type="gramStart"/>
      <w:r w:rsidRPr="00294F55">
        <w:rPr>
          <w:rFonts w:ascii="Times New Roman" w:hAnsi="Times New Roman" w:cs="Times New Roman"/>
          <w:sz w:val="28"/>
          <w:szCs w:val="28"/>
        </w:rPr>
        <w:t>годов  администрации</w:t>
      </w:r>
      <w:proofErr w:type="gramEnd"/>
      <w:r w:rsidRPr="00294F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Ырбан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Республики Тыва в целях исполнения бюджета поселения право привлекать из федерального бюджета бюджетные кредиты на пополнение остатков средств на счетах бюджета поселения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поселения от </w:t>
      </w:r>
      <w:proofErr w:type="gramStart"/>
      <w:r w:rsidRPr="00294F55">
        <w:rPr>
          <w:rFonts w:ascii="Times New Roman" w:hAnsi="Times New Roman" w:cs="Times New Roman"/>
          <w:sz w:val="28"/>
          <w:szCs w:val="28"/>
        </w:rPr>
        <w:t>имени  администрации</w:t>
      </w:r>
      <w:proofErr w:type="gramEnd"/>
      <w:r w:rsidRPr="00294F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Ырбан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Республики Тыва предоставить Финансовому управлению  администрации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F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94F55">
        <w:rPr>
          <w:rFonts w:ascii="Times New Roman" w:hAnsi="Times New Roman" w:cs="Times New Roman"/>
          <w:sz w:val="28"/>
          <w:szCs w:val="28"/>
        </w:rPr>
        <w:t xml:space="preserve">  Республики Тыва.</w:t>
      </w:r>
    </w:p>
    <w:p w:rsidR="005C245F" w:rsidRPr="00294F55" w:rsidRDefault="00D95746" w:rsidP="00294F55">
      <w:pPr>
        <w:pStyle w:val="a3"/>
        <w:spacing w:before="0" w:beforeAutospacing="0" w:after="300" w:afterAutospacing="0" w:line="384" w:lineRule="atLeast"/>
        <w:jc w:val="both"/>
        <w:rPr>
          <w:color w:val="000000"/>
          <w:spacing w:val="3"/>
          <w:sz w:val="28"/>
          <w:szCs w:val="28"/>
        </w:rPr>
      </w:pPr>
      <w:r w:rsidRPr="00294F55">
        <w:rPr>
          <w:color w:val="000000"/>
          <w:spacing w:val="3"/>
          <w:sz w:val="28"/>
          <w:szCs w:val="28"/>
        </w:rPr>
        <w:t>3</w:t>
      </w:r>
      <w:r w:rsidR="0019294A" w:rsidRPr="00294F55">
        <w:rPr>
          <w:color w:val="000000"/>
          <w:spacing w:val="3"/>
          <w:sz w:val="28"/>
          <w:szCs w:val="28"/>
        </w:rPr>
        <w:t>. Казначейское сопровождение осуществляется в отношении следующих средств:</w:t>
      </w:r>
    </w:p>
    <w:p w:rsidR="00AB04E6" w:rsidRDefault="008469E5" w:rsidP="00AB04E6">
      <w:pPr>
        <w:pStyle w:val="a3"/>
        <w:spacing w:before="0" w:beforeAutospacing="0" w:after="300" w:afterAutospacing="0" w:line="384" w:lineRule="atLeas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получаемых</w:t>
      </w:r>
      <w:r w:rsidR="0019294A" w:rsidRPr="00294F55">
        <w:rPr>
          <w:color w:val="000000"/>
          <w:spacing w:val="3"/>
          <w:sz w:val="28"/>
          <w:szCs w:val="28"/>
        </w:rPr>
        <w:t xml:space="preserve"> на основании </w:t>
      </w:r>
      <w:proofErr w:type="gramStart"/>
      <w:r w:rsidR="0019294A" w:rsidRPr="00294F55">
        <w:rPr>
          <w:color w:val="000000"/>
          <w:spacing w:val="3"/>
          <w:sz w:val="28"/>
          <w:szCs w:val="28"/>
        </w:rPr>
        <w:t>муниципальных  контрактов</w:t>
      </w:r>
      <w:proofErr w:type="gramEnd"/>
      <w:r w:rsidR="0019294A" w:rsidRPr="00294F55">
        <w:rPr>
          <w:color w:val="000000"/>
          <w:spacing w:val="3"/>
          <w:sz w:val="28"/>
          <w:szCs w:val="28"/>
        </w:rPr>
        <w:t>, договоров (соглашений), контрактов (договоров), источником финансового обеспечения исполнения которых являют</w:t>
      </w:r>
      <w:r>
        <w:rPr>
          <w:color w:val="000000"/>
          <w:spacing w:val="3"/>
          <w:sz w:val="28"/>
          <w:szCs w:val="28"/>
        </w:rPr>
        <w:t xml:space="preserve">ся предоставляемые из </w:t>
      </w:r>
      <w:r w:rsidR="0019294A" w:rsidRPr="00294F55">
        <w:rPr>
          <w:color w:val="000000"/>
          <w:spacing w:val="3"/>
          <w:sz w:val="28"/>
          <w:szCs w:val="28"/>
        </w:rPr>
        <w:t xml:space="preserve"> бюджета </w:t>
      </w:r>
      <w:r>
        <w:rPr>
          <w:color w:val="000000"/>
          <w:spacing w:val="3"/>
          <w:sz w:val="28"/>
          <w:szCs w:val="28"/>
        </w:rPr>
        <w:t xml:space="preserve"> поселения </w:t>
      </w:r>
      <w:r w:rsidR="0019294A" w:rsidRPr="00294F55">
        <w:rPr>
          <w:color w:val="000000"/>
          <w:spacing w:val="3"/>
          <w:sz w:val="28"/>
          <w:szCs w:val="28"/>
        </w:rPr>
        <w:t xml:space="preserve">, к которым не могут быть отнесены авансы и </w:t>
      </w:r>
      <w:proofErr w:type="spellStart"/>
      <w:r w:rsidR="0019294A" w:rsidRPr="00294F55">
        <w:rPr>
          <w:color w:val="000000"/>
          <w:spacing w:val="3"/>
          <w:sz w:val="28"/>
          <w:szCs w:val="28"/>
        </w:rPr>
        <w:t>расчеты</w:t>
      </w:r>
      <w:r w:rsidR="000F6594">
        <w:rPr>
          <w:color w:val="000000"/>
          <w:spacing w:val="3"/>
          <w:sz w:val="28"/>
          <w:szCs w:val="28"/>
        </w:rPr>
        <w:t>,</w:t>
      </w:r>
      <w:r w:rsidR="005C245F" w:rsidRPr="00294F55">
        <w:rPr>
          <w:color w:val="000000"/>
          <w:spacing w:val="3"/>
          <w:sz w:val="28"/>
          <w:szCs w:val="28"/>
        </w:rPr>
        <w:t>по</w:t>
      </w:r>
      <w:proofErr w:type="spellEnd"/>
      <w:r w:rsidR="005C245F" w:rsidRPr="00294F55">
        <w:rPr>
          <w:color w:val="000000"/>
          <w:spacing w:val="3"/>
          <w:sz w:val="28"/>
          <w:szCs w:val="28"/>
        </w:rPr>
        <w:t xml:space="preserve"> </w:t>
      </w:r>
      <w:r w:rsidR="005C245F" w:rsidRPr="00294F55">
        <w:rPr>
          <w:color w:val="000000"/>
          <w:spacing w:val="3"/>
          <w:sz w:val="28"/>
          <w:szCs w:val="28"/>
        </w:rPr>
        <w:lastRenderedPageBreak/>
        <w:t>муниципальным</w:t>
      </w:r>
      <w:r w:rsidR="0019294A" w:rsidRPr="00294F55">
        <w:rPr>
          <w:color w:val="000000"/>
          <w:spacing w:val="3"/>
          <w:sz w:val="28"/>
          <w:szCs w:val="28"/>
        </w:rPr>
        <w:t xml:space="preserve"> контрактам, заключаемым на сумму менее 50 миллионов рублей;</w:t>
      </w:r>
      <w:r w:rsidR="00AB04E6">
        <w:rPr>
          <w:color w:val="000000"/>
          <w:spacing w:val="3"/>
          <w:sz w:val="28"/>
          <w:szCs w:val="28"/>
        </w:rPr>
        <w:t xml:space="preserve"> </w:t>
      </w:r>
    </w:p>
    <w:p w:rsidR="00AB04E6" w:rsidRPr="00AB04E6" w:rsidRDefault="00AB04E6" w:rsidP="00AB04E6">
      <w:pPr>
        <w:pStyle w:val="a3"/>
        <w:spacing w:before="0" w:beforeAutospacing="0" w:after="300" w:afterAutospacing="0" w:line="384" w:lineRule="atLeast"/>
        <w:rPr>
          <w:color w:val="000000"/>
          <w:spacing w:val="3"/>
          <w:sz w:val="28"/>
          <w:szCs w:val="28"/>
        </w:rPr>
      </w:pPr>
      <w:r w:rsidRPr="00AB04E6">
        <w:rPr>
          <w:color w:val="000000"/>
          <w:spacing w:val="3"/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</w:p>
    <w:p w:rsidR="00AB04E6" w:rsidRPr="00AB04E6" w:rsidRDefault="008469E5" w:rsidP="00AB04E6">
      <w:pPr>
        <w:pStyle w:val="a3"/>
        <w:spacing w:before="0" w:beforeAutospacing="0" w:after="300" w:afterAutospacing="0" w:line="384" w:lineRule="atLeas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Казначейское  сопровождения осуществляется в порядке ,</w:t>
      </w:r>
      <w:r w:rsidR="00DC24F6">
        <w:rPr>
          <w:color w:val="000000"/>
          <w:spacing w:val="3"/>
          <w:sz w:val="28"/>
          <w:szCs w:val="28"/>
        </w:rPr>
        <w:t>установленном нормативным правовым актом</w:t>
      </w:r>
      <w:r w:rsidR="00AB04E6" w:rsidRPr="00AB04E6">
        <w:rPr>
          <w:color w:val="000000"/>
          <w:spacing w:val="3"/>
          <w:sz w:val="28"/>
          <w:szCs w:val="28"/>
        </w:rPr>
        <w:t xml:space="preserve"> Ад</w:t>
      </w:r>
      <w:r w:rsidR="00DC24F6">
        <w:rPr>
          <w:color w:val="000000"/>
          <w:spacing w:val="3"/>
          <w:sz w:val="28"/>
          <w:szCs w:val="28"/>
        </w:rPr>
        <w:t>министрации</w:t>
      </w:r>
      <w:r>
        <w:rPr>
          <w:color w:val="000000"/>
          <w:spacing w:val="3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pacing w:val="3"/>
          <w:sz w:val="28"/>
          <w:szCs w:val="28"/>
        </w:rPr>
        <w:t>сумона</w:t>
      </w:r>
      <w:proofErr w:type="spellEnd"/>
      <w:r>
        <w:rPr>
          <w:color w:val="000000"/>
          <w:spacing w:val="3"/>
          <w:sz w:val="28"/>
          <w:szCs w:val="28"/>
        </w:rPr>
        <w:t xml:space="preserve"> Ырбан </w:t>
      </w:r>
      <w:proofErr w:type="spellStart"/>
      <w:r>
        <w:rPr>
          <w:color w:val="000000"/>
          <w:spacing w:val="3"/>
          <w:sz w:val="28"/>
          <w:szCs w:val="28"/>
        </w:rPr>
        <w:t>Тоджинского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кожууна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 w:rsidR="00AB04E6" w:rsidRPr="00AB04E6">
        <w:rPr>
          <w:color w:val="000000"/>
          <w:spacing w:val="3"/>
          <w:sz w:val="28"/>
          <w:szCs w:val="28"/>
        </w:rPr>
        <w:t>Республики Тыва в соответствии с общими требованиями, установленными Правительством Российской Федерации, содержащими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</w:t>
      </w:r>
      <w:r w:rsidR="00DC24F6">
        <w:rPr>
          <w:color w:val="000000"/>
          <w:spacing w:val="3"/>
          <w:sz w:val="28"/>
          <w:szCs w:val="28"/>
        </w:rPr>
        <w:t xml:space="preserve">азначейского </w:t>
      </w:r>
      <w:proofErr w:type="spellStart"/>
      <w:r w:rsidR="00DC24F6">
        <w:rPr>
          <w:color w:val="000000"/>
          <w:spacing w:val="3"/>
          <w:sz w:val="28"/>
          <w:szCs w:val="28"/>
        </w:rPr>
        <w:t>сопровождения,</w:t>
      </w:r>
      <w:r w:rsidR="0091083E">
        <w:rPr>
          <w:color w:val="000000"/>
          <w:spacing w:val="3"/>
          <w:sz w:val="28"/>
          <w:szCs w:val="28"/>
        </w:rPr>
        <w:t>устанавливаемому</w:t>
      </w:r>
      <w:proofErr w:type="spellEnd"/>
      <w:r w:rsidR="0091083E">
        <w:rPr>
          <w:color w:val="000000"/>
          <w:spacing w:val="3"/>
          <w:sz w:val="28"/>
          <w:szCs w:val="28"/>
        </w:rPr>
        <w:t xml:space="preserve"> Финансовым управлением а</w:t>
      </w:r>
      <w:r w:rsidR="00DC24F6">
        <w:rPr>
          <w:color w:val="000000"/>
          <w:spacing w:val="3"/>
          <w:sz w:val="28"/>
          <w:szCs w:val="28"/>
        </w:rPr>
        <w:t xml:space="preserve">дминистрации </w:t>
      </w:r>
      <w:proofErr w:type="spellStart"/>
      <w:r w:rsidR="00AB04E6" w:rsidRPr="00AB04E6">
        <w:rPr>
          <w:color w:val="000000"/>
          <w:spacing w:val="3"/>
          <w:sz w:val="28"/>
          <w:szCs w:val="28"/>
        </w:rPr>
        <w:t>Тоджинского</w:t>
      </w:r>
      <w:proofErr w:type="spellEnd"/>
      <w:r w:rsidR="00AB04E6" w:rsidRPr="00AB04E6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AB04E6" w:rsidRPr="00AB04E6">
        <w:rPr>
          <w:color w:val="000000"/>
          <w:spacing w:val="3"/>
          <w:sz w:val="28"/>
          <w:szCs w:val="28"/>
        </w:rPr>
        <w:t>кожууна</w:t>
      </w:r>
      <w:proofErr w:type="spellEnd"/>
      <w:r w:rsidR="00AB04E6" w:rsidRPr="00AB04E6">
        <w:rPr>
          <w:color w:val="000000"/>
          <w:spacing w:val="3"/>
          <w:sz w:val="28"/>
          <w:szCs w:val="28"/>
        </w:rPr>
        <w:t xml:space="preserve"> Республики Тыва.</w:t>
      </w:r>
    </w:p>
    <w:p w:rsidR="00190210" w:rsidRPr="00294F55" w:rsidRDefault="00AB04E6" w:rsidP="00294F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0210" w:rsidRPr="00294F55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Администрации сельского поселения </w:t>
      </w:r>
      <w:proofErr w:type="spellStart"/>
      <w:r w:rsidR="00190210" w:rsidRPr="00294F5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190210" w:rsidRPr="00294F55">
        <w:rPr>
          <w:rFonts w:ascii="Times New Roman" w:hAnsi="Times New Roman" w:cs="Times New Roman"/>
          <w:sz w:val="28"/>
          <w:szCs w:val="28"/>
        </w:rPr>
        <w:t xml:space="preserve"> Ырбан </w:t>
      </w:r>
      <w:proofErr w:type="spellStart"/>
      <w:r w:rsidR="00190210" w:rsidRPr="00294F55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="00190210" w:rsidRPr="0029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210" w:rsidRPr="00294F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90210" w:rsidRPr="00294F55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190210" w:rsidP="0019021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294F55" w:rsidP="0019021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</w:t>
      </w:r>
      <w:r w:rsidR="00190210" w:rsidRPr="00294F55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55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</w:t>
      </w:r>
      <w:r w:rsidR="005C245F" w:rsidRPr="00294F55">
        <w:rPr>
          <w:rFonts w:ascii="Times New Roman" w:hAnsi="Times New Roman" w:cs="Times New Roman"/>
          <w:sz w:val="28"/>
          <w:szCs w:val="28"/>
        </w:rPr>
        <w:t>ря 2022</w:t>
      </w:r>
      <w:r w:rsidRPr="00294F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190210" w:rsidP="0019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0" w:rsidRPr="00294F55" w:rsidRDefault="00190210" w:rsidP="00190210">
      <w:pPr>
        <w:pStyle w:val="Style6"/>
        <w:widowControl/>
        <w:spacing w:before="120" w:line="240" w:lineRule="auto"/>
        <w:jc w:val="left"/>
        <w:rPr>
          <w:rStyle w:val="FontStyle14"/>
        </w:rPr>
      </w:pPr>
    </w:p>
    <w:p w:rsidR="00190210" w:rsidRPr="00294F55" w:rsidRDefault="00190210" w:rsidP="00190210">
      <w:pPr>
        <w:pStyle w:val="Style6"/>
        <w:widowControl/>
        <w:spacing w:before="120" w:line="240" w:lineRule="auto"/>
        <w:jc w:val="left"/>
        <w:rPr>
          <w:rStyle w:val="FontStyle14"/>
          <w:sz w:val="28"/>
          <w:szCs w:val="28"/>
        </w:rPr>
      </w:pPr>
      <w:r w:rsidRPr="00294F55">
        <w:rPr>
          <w:rStyle w:val="FontStyle14"/>
          <w:sz w:val="28"/>
          <w:szCs w:val="28"/>
        </w:rPr>
        <w:t xml:space="preserve">Глава-председатель Хурала представителей           </w:t>
      </w:r>
      <w:r w:rsidR="005C245F" w:rsidRPr="00294F55">
        <w:rPr>
          <w:rStyle w:val="FontStyle14"/>
          <w:sz w:val="28"/>
          <w:szCs w:val="28"/>
        </w:rPr>
        <w:t xml:space="preserve">            Н. Н. </w:t>
      </w:r>
      <w:proofErr w:type="spellStart"/>
      <w:r w:rsidR="005C245F" w:rsidRPr="00294F55">
        <w:rPr>
          <w:rStyle w:val="FontStyle14"/>
          <w:sz w:val="28"/>
          <w:szCs w:val="28"/>
        </w:rPr>
        <w:t>Романина</w:t>
      </w:r>
      <w:proofErr w:type="spellEnd"/>
      <w:r w:rsidRPr="00294F55">
        <w:rPr>
          <w:rStyle w:val="FontStyle14"/>
          <w:sz w:val="28"/>
          <w:szCs w:val="28"/>
        </w:rPr>
        <w:t xml:space="preserve">                                 </w:t>
      </w:r>
    </w:p>
    <w:p w:rsidR="00190210" w:rsidRPr="00294F55" w:rsidRDefault="00190210" w:rsidP="00190210">
      <w:pPr>
        <w:pStyle w:val="Style7"/>
        <w:widowControl/>
        <w:spacing w:line="240" w:lineRule="exact"/>
        <w:rPr>
          <w:sz w:val="28"/>
          <w:szCs w:val="28"/>
        </w:rPr>
      </w:pPr>
    </w:p>
    <w:p w:rsidR="00190210" w:rsidRPr="00294F55" w:rsidRDefault="00190210" w:rsidP="00190210">
      <w:pPr>
        <w:pStyle w:val="Style7"/>
        <w:widowControl/>
        <w:spacing w:before="86" w:after="1296" w:line="312" w:lineRule="exact"/>
        <w:rPr>
          <w:rStyle w:val="FontStyle14"/>
          <w:sz w:val="28"/>
          <w:szCs w:val="28"/>
        </w:rPr>
      </w:pPr>
    </w:p>
    <w:p w:rsidR="00190210" w:rsidRPr="00294F55" w:rsidRDefault="00190210" w:rsidP="00190210"/>
    <w:p w:rsidR="00DA7BBF" w:rsidRPr="00294F55" w:rsidRDefault="00DA7BBF"/>
    <w:sectPr w:rsidR="00DA7BBF" w:rsidRPr="00294F55" w:rsidSect="00E25EEF">
      <w:pgSz w:w="11906" w:h="16838"/>
      <w:pgMar w:top="993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DA"/>
    <w:rsid w:val="00014461"/>
    <w:rsid w:val="000F6594"/>
    <w:rsid w:val="00150ADA"/>
    <w:rsid w:val="00190210"/>
    <w:rsid w:val="0019294A"/>
    <w:rsid w:val="00251CA1"/>
    <w:rsid w:val="00294F55"/>
    <w:rsid w:val="00372C55"/>
    <w:rsid w:val="005C245F"/>
    <w:rsid w:val="00791648"/>
    <w:rsid w:val="007B3974"/>
    <w:rsid w:val="008469E5"/>
    <w:rsid w:val="0091083E"/>
    <w:rsid w:val="00A60707"/>
    <w:rsid w:val="00A85FC5"/>
    <w:rsid w:val="00AB04E6"/>
    <w:rsid w:val="00CF2FB8"/>
    <w:rsid w:val="00D95746"/>
    <w:rsid w:val="00DA7BBF"/>
    <w:rsid w:val="00DC24F6"/>
    <w:rsid w:val="00E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967B"/>
  <w15:chartTrackingRefBased/>
  <w15:docId w15:val="{7D147B02-3927-4B05-AF9B-6C0FCF9D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90210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190210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190210"/>
    <w:pPr>
      <w:widowControl w:val="0"/>
      <w:suppressAutoHyphens w:val="0"/>
      <w:autoSpaceDE w:val="0"/>
      <w:autoSpaceDN w:val="0"/>
      <w:adjustRightInd w:val="0"/>
      <w:spacing w:line="317" w:lineRule="exact"/>
      <w:ind w:firstLine="485"/>
      <w:jc w:val="both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190210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190210"/>
    <w:pPr>
      <w:widowControl w:val="0"/>
      <w:suppressAutoHyphens w:val="0"/>
      <w:autoSpaceDE w:val="0"/>
      <w:autoSpaceDN w:val="0"/>
      <w:adjustRightInd w:val="0"/>
      <w:spacing w:line="317" w:lineRule="exact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19021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1902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190210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190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0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294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9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97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4588-5A35-4C2E-8771-55317344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2021-12-28T08:31:00Z</cp:lastPrinted>
  <dcterms:created xsi:type="dcterms:W3CDTF">2021-11-16T09:04:00Z</dcterms:created>
  <dcterms:modified xsi:type="dcterms:W3CDTF">2021-12-28T08:31:00Z</dcterms:modified>
</cp:coreProperties>
</file>